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26"/>
          <w:szCs w:val="26"/>
        </w:rPr>
        <w:t xml:space="preserve">SECTION 46 61 00</w:t>
      </w:r>
    </w:p>
    <w:p>
      <w:pPr>
        <w:spacing w:after="240"/>
      </w:pPr>
      <w:r>
        <w:rPr>
          <w:rFonts w:ascii="Arial" w:cs="Arial" w:eastAsia="Arial" w:hAnsi="Arial"/>
          <w:b/>
          <w:bCs/>
          <w:sz w:val="26"/>
          <w:szCs w:val="26"/>
        </w:rPr>
        <w:t xml:space="preserve">SUBMERGED FLAT-SHEET MEMBRANE BIOREACTOR (MBR) MODULES</w:t>
      </w:r>
    </w:p>
    <w:p>
      <w:pPr>
        <w:pBdr>
          <w:top w:val="single" w:color="0B1F33" w:sz="8" w:space="6"/>
          <w:bottom w:val="single" w:color="0B1F33" w:sz="8" w:space="6"/>
        </w:pBdr>
        <w:spacing w:after="200"/>
      </w:pPr>
      <w:r>
        <w:rPr>
          <w:rFonts w:ascii="Arial" w:cs="Arial" w:eastAsia="Arial" w:hAnsi="Arial"/>
          <w:b/>
          <w:bCs/>
          <w:sz w:val="21"/>
          <w:szCs w:val="21"/>
        </w:rPr>
        <w:t xml:space="preserve">How to use this section</w:t>
      </w:r>
    </w:p>
    <w:p>
      <w:pPr>
        <w:spacing w:after="100"/>
        <w:jc w:val="left"/>
      </w:pPr>
      <w:r>
        <w:rPr>
          <w:rFonts w:ascii="Arial" w:cs="Arial" w:eastAsia="Arial" w:hAnsi="Arial"/>
          <w:b w:val="false"/>
          <w:bCs w:val="false"/>
          <w:i w:val="false"/>
          <w:iCs w:val="false"/>
          <w:color w:val="000000"/>
          <w:sz w:val="19"/>
          <w:szCs w:val="19"/>
        </w:rPr>
        <w:t xml:space="preserve">This is a manufacturer-prepared guide specification offered as a drafting aid. It is not a contract document and Zyramic, Inc. is not the Engineer of Record. Edit it to the project, delete what does not apply, and take responsibility for the result.</w:t>
      </w:r>
    </w:p>
    <w:p>
      <w:pPr>
        <w:spacing w:after="100"/>
        <w:jc w:val="left"/>
      </w:pPr>
      <w:r>
        <w:rPr>
          <w:rFonts w:ascii="Arial" w:cs="Arial" w:eastAsia="Arial" w:hAnsi="Arial"/>
          <w:b w:val="false"/>
          <w:bCs w:val="false"/>
          <w:i w:val="false"/>
          <w:iCs w:val="false"/>
          <w:color w:val="000000"/>
          <w:sz w:val="19"/>
          <w:szCs w:val="19"/>
        </w:rPr>
        <w:t xml:space="preserve">MasterFormat has no dedicated number for membrane bioreactor equipment. This draft is filed under 46 61 00 (Filtration Equipment). Renumber to your project convention — 46 60 00 and project-assigned 46 61 xx numbers are both in common use.</w:t>
      </w:r>
    </w:p>
    <w:p>
      <w:pPr>
        <w:spacing w:after="300"/>
        <w:jc w:val="left"/>
      </w:pPr>
      <w:r>
        <w:rPr>
          <w:rFonts w:ascii="Arial" w:cs="Arial" w:eastAsia="Arial" w:hAnsi="Arial"/>
          <w:b w:val="false"/>
          <w:bCs w:val="false"/>
          <w:i w:val="false"/>
          <w:iCs w:val="false"/>
          <w:color w:val="000000"/>
          <w:sz w:val="19"/>
          <w:szCs w:val="19"/>
        </w:rPr>
        <w:t xml:space="preserve">Items in [brackets] require a project decision. Grey-barred SPECIFIER NOTES are drafting commentary and must be deleted before issue.</w:t>
      </w:r>
    </w:p>
    <w:p>
      <w:pPr>
        <w:pStyle w:val="Heading1"/>
        <w:spacing w:after="200" w:before="400"/>
      </w:pPr>
      <w:r>
        <w:rPr>
          <w:rFonts w:ascii="Arial" w:cs="Arial" w:eastAsia="Arial" w:hAnsi="Arial"/>
          <w:b/>
          <w:bCs/>
          <w:color w:val="000000"/>
          <w:sz w:val="24"/>
          <w:szCs w:val="24"/>
        </w:rPr>
        <w:t xml:space="preserve">PART 1 – GENERAL</w:t>
      </w:r>
    </w:p>
    <w:p>
      <w:pPr>
        <w:pStyle w:val="Heading2"/>
        <w:spacing w:after="120" w:before="260"/>
      </w:pPr>
      <w:r>
        <w:rPr>
          <w:rFonts w:ascii="Arial" w:cs="Arial" w:eastAsia="Arial" w:hAnsi="Arial"/>
          <w:b/>
          <w:bCs/>
          <w:color w:val="000000"/>
          <w:sz w:val="22"/>
          <w:szCs w:val="22"/>
        </w:rPr>
        <w:t xml:space="preserve">1.01 SUMMARY</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This Section specifies submerged flat-sheet membrane bioreactor (MBR) modules for solid-liquid separation in mixed liquor, including membrane plates, cassette frame, permeate headers, the integral air scour system, and accessories.</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Scope of supply under this Section is limited to the membrane modules and the accessories listed herein. The following are specified elsewhere and are not furnished under this Section:</w:t>
      </w:r>
    </w:p>
    <w:p>
      <w:pPr>
        <w:tabs>
          <w:tab w:val="left" w:pos="1440"/>
        </w:tabs>
        <w:spacing w:after="90"/>
        <w:ind w:left="1440" w:hanging="360"/>
      </w:pPr>
      <w:r>
        <w:rPr>
          <w:rFonts w:ascii="Arial" w:cs="Arial" w:eastAsia="Arial" w:hAnsi="Arial"/>
          <w:i w:val="false"/>
          <w:iCs w:val="false"/>
          <w:sz w:val="21"/>
          <w:szCs w:val="21"/>
        </w:rPr>
        <w:t xml:space="preserve">1.	</w:t>
      </w:r>
      <w:r>
        <w:rPr>
          <w:rFonts w:ascii="Arial" w:cs="Arial" w:eastAsia="Arial" w:hAnsi="Arial"/>
          <w:i w:val="false"/>
          <w:iCs w:val="false"/>
          <w:sz w:val="21"/>
          <w:szCs w:val="21"/>
        </w:rPr>
        <w:t xml:space="preserve">Membrane tank structure, coatings, and appurtenances.</w:t>
      </w:r>
    </w:p>
    <w:p>
      <w:pPr>
        <w:tabs>
          <w:tab w:val="left" w:pos="1440"/>
        </w:tabs>
        <w:spacing w:after="90"/>
        <w:ind w:left="1440" w:hanging="360"/>
      </w:pPr>
      <w:r>
        <w:rPr>
          <w:rFonts w:ascii="Arial" w:cs="Arial" w:eastAsia="Arial" w:hAnsi="Arial"/>
          <w:i w:val="false"/>
          <w:iCs w:val="false"/>
          <w:sz w:val="21"/>
          <w:szCs w:val="21"/>
        </w:rPr>
        <w:t xml:space="preserve">2.	</w:t>
      </w:r>
      <w:r>
        <w:rPr>
          <w:rFonts w:ascii="Arial" w:cs="Arial" w:eastAsia="Arial" w:hAnsi="Arial"/>
          <w:i w:val="false"/>
          <w:iCs w:val="false"/>
          <w:sz w:val="21"/>
          <w:szCs w:val="21"/>
        </w:rPr>
        <w:t xml:space="preserve">Air scour blowers, blower piping, and blower controls.</w:t>
      </w:r>
    </w:p>
    <w:p>
      <w:pPr>
        <w:tabs>
          <w:tab w:val="left" w:pos="1440"/>
        </w:tabs>
        <w:spacing w:after="90"/>
        <w:ind w:left="1440" w:hanging="360"/>
      </w:pPr>
      <w:r>
        <w:rPr>
          <w:rFonts w:ascii="Arial" w:cs="Arial" w:eastAsia="Arial" w:hAnsi="Arial"/>
          <w:i w:val="false"/>
          <w:iCs w:val="false"/>
          <w:sz w:val="21"/>
          <w:szCs w:val="21"/>
        </w:rPr>
        <w:t xml:space="preserve">3.	</w:t>
      </w:r>
      <w:r>
        <w:rPr>
          <w:rFonts w:ascii="Arial" w:cs="Arial" w:eastAsia="Arial" w:hAnsi="Arial"/>
          <w:i w:val="false"/>
          <w:iCs w:val="false"/>
          <w:sz w:val="21"/>
          <w:szCs w:val="21"/>
        </w:rPr>
        <w:t xml:space="preserve">Permeate pumps, valves, flow metering, and instrumentation.</w:t>
      </w:r>
    </w:p>
    <w:p>
      <w:pPr>
        <w:tabs>
          <w:tab w:val="left" w:pos="1440"/>
        </w:tabs>
        <w:spacing w:after="90"/>
        <w:ind w:left="1440" w:hanging="360"/>
      </w:pPr>
      <w:r>
        <w:rPr>
          <w:rFonts w:ascii="Arial" w:cs="Arial" w:eastAsia="Arial" w:hAnsi="Arial"/>
          <w:i w:val="false"/>
          <w:iCs w:val="false"/>
          <w:sz w:val="21"/>
          <w:szCs w:val="21"/>
        </w:rPr>
        <w:t xml:space="preserve">4.	</w:t>
      </w:r>
      <w:r>
        <w:rPr>
          <w:rFonts w:ascii="Arial" w:cs="Arial" w:eastAsia="Arial" w:hAnsi="Arial"/>
          <w:i w:val="false"/>
          <w:iCs w:val="false"/>
          <w:sz w:val="21"/>
          <w:szCs w:val="21"/>
        </w:rPr>
        <w:t xml:space="preserve">Process piping upstream and downstream of the module header connections.</w:t>
      </w:r>
    </w:p>
    <w:p>
      <w:pPr>
        <w:tabs>
          <w:tab w:val="left" w:pos="1440"/>
        </w:tabs>
        <w:spacing w:after="90"/>
        <w:ind w:left="1440" w:hanging="360"/>
      </w:pPr>
      <w:r>
        <w:rPr>
          <w:rFonts w:ascii="Arial" w:cs="Arial" w:eastAsia="Arial" w:hAnsi="Arial"/>
          <w:i w:val="false"/>
          <w:iCs w:val="false"/>
          <w:sz w:val="21"/>
          <w:szCs w:val="21"/>
        </w:rPr>
        <w:t xml:space="preserve">5.	</w:t>
      </w:r>
      <w:r>
        <w:rPr>
          <w:rFonts w:ascii="Arial" w:cs="Arial" w:eastAsia="Arial" w:hAnsi="Arial"/>
          <w:i w:val="false"/>
          <w:iCs w:val="false"/>
          <w:sz w:val="21"/>
          <w:szCs w:val="21"/>
        </w:rPr>
        <w:t xml:space="preserve">Chemical storage, feed, and cleaning system equipment.</w:t>
      </w:r>
    </w:p>
    <w:p>
      <w:pPr>
        <w:tabs>
          <w:tab w:val="left" w:pos="1440"/>
        </w:tabs>
        <w:spacing w:after="90"/>
        <w:ind w:left="1440" w:hanging="360"/>
      </w:pPr>
      <w:r>
        <w:rPr>
          <w:rFonts w:ascii="Arial" w:cs="Arial" w:eastAsia="Arial" w:hAnsi="Arial"/>
          <w:i w:val="false"/>
          <w:iCs w:val="false"/>
          <w:sz w:val="21"/>
          <w:szCs w:val="21"/>
        </w:rPr>
        <w:t xml:space="preserve">6.	</w:t>
      </w:r>
      <w:r>
        <w:rPr>
          <w:rFonts w:ascii="Arial" w:cs="Arial" w:eastAsia="Arial" w:hAnsi="Arial"/>
          <w:i w:val="false"/>
          <w:iCs w:val="false"/>
          <w:sz w:val="21"/>
          <w:szCs w:val="21"/>
        </w:rPr>
        <w:t xml:space="preserve">Fine screening upstream of the membrane tank.</w:t>
      </w:r>
    </w:p>
    <w:p>
      <w:pPr>
        <w:tabs>
          <w:tab w:val="left" w:pos="1440"/>
        </w:tabs>
        <w:spacing w:after="90"/>
        <w:ind w:left="1440" w:hanging="360"/>
      </w:pPr>
      <w:r>
        <w:rPr>
          <w:rFonts w:ascii="Arial" w:cs="Arial" w:eastAsia="Arial" w:hAnsi="Arial"/>
          <w:i w:val="false"/>
          <w:iCs w:val="false"/>
          <w:sz w:val="21"/>
          <w:szCs w:val="21"/>
        </w:rPr>
        <w:t xml:space="preserve">7.	</w:t>
      </w:r>
      <w:r>
        <w:rPr>
          <w:rFonts w:ascii="Arial" w:cs="Arial" w:eastAsia="Arial" w:hAnsi="Arial"/>
          <w:i w:val="false"/>
          <w:iCs w:val="false"/>
          <w:sz w:val="21"/>
          <w:szCs w:val="21"/>
        </w:rPr>
        <w:t xml:space="preserve">Process control system, programming, and SCADA integration.</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The Basis of Design manufacturer supplies modules only, not a packaged treatment system. If the project intends a single-source system procurement, this Section should be rolled into a system specification and the manufacturer paired with a systems integrator. Do not leave a system-scope performance guarantee attached to a module-scope Section.</w:t>
      </w:r>
    </w:p>
    <w:p>
      <w:pPr>
        <w:pStyle w:val="Heading2"/>
        <w:spacing w:after="120" w:before="260"/>
      </w:pPr>
      <w:r>
        <w:rPr>
          <w:rFonts w:ascii="Arial" w:cs="Arial" w:eastAsia="Arial" w:hAnsi="Arial"/>
          <w:b/>
          <w:bCs/>
          <w:color w:val="000000"/>
          <w:sz w:val="22"/>
          <w:szCs w:val="22"/>
        </w:rPr>
        <w:t xml:space="preserve">1.02 RELATED REQUIREMENTS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Section [46 05 00] – Common Work Results for Water and Wastewater Equipment.</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Section [46 21 00] – Screening Equipment.</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Section [40 05 00] – Common Work Results for Process Interconnections.</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Division [26] – Electrical.</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Division [40] – Process Instrumentation and Control.</w:t>
      </w:r>
    </w:p>
    <w:p>
      <w:pPr>
        <w:pStyle w:val="Heading2"/>
        <w:spacing w:after="120" w:before="260"/>
      </w:pPr>
      <w:r>
        <w:rPr>
          <w:rFonts w:ascii="Arial" w:cs="Arial" w:eastAsia="Arial" w:hAnsi="Arial"/>
          <w:b/>
          <w:bCs/>
          <w:color w:val="000000"/>
          <w:sz w:val="22"/>
          <w:szCs w:val="22"/>
        </w:rPr>
        <w:t xml:space="preserve">1.03 REFERENCE STANDARDS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ASTM A240 – Chromium and Chromium-Nickel Stainless Steel Plate, Sheet, and Strip.</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ASTM A276 – Stainless Steel Bars and Shapes.</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ASTM D4101 – Polypropylene Injection and Extrusion Materials.</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ASME B16.5 – Pipe Flanges and Flanged Fittings.</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AWS D1.6 – Structural Welding Code, Stainless Steel.</w:t>
      </w:r>
    </w:p>
    <w:p>
      <w:pPr>
        <w:tabs>
          <w:tab w:val="left" w:pos="720"/>
        </w:tabs>
        <w:spacing w:after="90"/>
        <w:ind w:left="720" w:hanging="360"/>
      </w:pPr>
      <w:r>
        <w:rPr>
          <w:rFonts w:ascii="Arial" w:cs="Arial" w:eastAsia="Arial" w:hAnsi="Arial"/>
          <w:i w:val="false"/>
          <w:iCs w:val="false"/>
          <w:sz w:val="21"/>
          <w:szCs w:val="21"/>
        </w:rPr>
        <w:t xml:space="preserve">F.	</w:t>
      </w:r>
      <w:r>
        <w:rPr>
          <w:rFonts w:ascii="Arial" w:cs="Arial" w:eastAsia="Arial" w:hAnsi="Arial"/>
          <w:i w:val="false"/>
          <w:iCs w:val="false"/>
          <w:sz w:val="21"/>
          <w:szCs w:val="21"/>
        </w:rPr>
        <w:t xml:space="preserve">ASCE 7 – Minimum Design Loads and Associated Criteria for Buildings and Other Structures.</w:t>
      </w:r>
    </w:p>
    <w:p>
      <w:pPr>
        <w:tabs>
          <w:tab w:val="left" w:pos="720"/>
        </w:tabs>
        <w:spacing w:after="90"/>
        <w:ind w:left="720" w:hanging="360"/>
      </w:pPr>
      <w:r>
        <w:rPr>
          <w:rFonts w:ascii="Arial" w:cs="Arial" w:eastAsia="Arial" w:hAnsi="Arial"/>
          <w:i w:val="false"/>
          <w:iCs w:val="false"/>
          <w:sz w:val="21"/>
          <w:szCs w:val="21"/>
        </w:rPr>
        <w:t xml:space="preserve">G.	</w:t>
      </w:r>
      <w:r>
        <w:rPr>
          <w:rFonts w:ascii="Arial" w:cs="Arial" w:eastAsia="Arial" w:hAnsi="Arial"/>
          <w:i w:val="false"/>
          <w:iCs w:val="false"/>
          <w:sz w:val="21"/>
          <w:szCs w:val="21"/>
        </w:rPr>
        <w:t xml:space="preserve">Build America, Buy America Act (BABA), Infrastructure Investment and Jobs Act, Title IX, and EPA implementing guidance.</w:t>
      </w:r>
    </w:p>
    <w:p>
      <w:pPr>
        <w:tabs>
          <w:tab w:val="left" w:pos="720"/>
        </w:tabs>
        <w:spacing w:after="90"/>
        <w:ind w:left="720" w:hanging="360"/>
      </w:pPr>
      <w:r>
        <w:rPr>
          <w:rFonts w:ascii="Arial" w:cs="Arial" w:eastAsia="Arial" w:hAnsi="Arial"/>
          <w:i w:val="false"/>
          <w:iCs w:val="false"/>
          <w:sz w:val="21"/>
          <w:szCs w:val="21"/>
        </w:rPr>
        <w:t xml:space="preserve">H.	</w:t>
      </w:r>
      <w:r>
        <w:rPr>
          <w:rFonts w:ascii="Arial" w:cs="Arial" w:eastAsia="Arial" w:hAnsi="Arial"/>
          <w:i w:val="false"/>
          <w:iCs w:val="false"/>
          <w:sz w:val="21"/>
          <w:szCs w:val="21"/>
        </w:rPr>
        <w:t xml:space="preserve">American Iron and Steel (AIS) requirements applicable to CWSRF and DWSRF projects.</w:t>
      </w:r>
    </w:p>
    <w:p>
      <w:pPr>
        <w:tabs>
          <w:tab w:val="left" w:pos="720"/>
        </w:tabs>
        <w:spacing w:after="90"/>
        <w:ind w:left="720" w:hanging="360"/>
      </w:pPr>
      <w:r>
        <w:rPr>
          <w:rFonts w:ascii="Arial" w:cs="Arial" w:eastAsia="Arial" w:hAnsi="Arial"/>
          <w:i w:val="false"/>
          <w:iCs w:val="false"/>
          <w:sz w:val="21"/>
          <w:szCs w:val="21"/>
        </w:rPr>
        <w:t xml:space="preserve">I.	</w:t>
      </w:r>
      <w:r>
        <w:rPr>
          <w:rFonts w:ascii="Arial" w:cs="Arial" w:eastAsia="Arial" w:hAnsi="Arial"/>
          <w:i w:val="false"/>
          <w:iCs w:val="false"/>
          <w:sz w:val="21"/>
          <w:szCs w:val="21"/>
        </w:rPr>
        <w:t xml:space="preserve">[NSF/ANSI 61 – Drinking Water System Components, where the permeate enters a potable reuse train.]</w:t>
      </w:r>
    </w:p>
    <w:p>
      <w:pPr>
        <w:pStyle w:val="Heading2"/>
        <w:spacing w:after="120" w:before="260"/>
      </w:pPr>
      <w:r>
        <w:rPr>
          <w:rFonts w:ascii="Arial" w:cs="Arial" w:eastAsia="Arial" w:hAnsi="Arial"/>
          <w:b/>
          <w:bCs/>
          <w:color w:val="000000"/>
          <w:sz w:val="22"/>
          <w:szCs w:val="22"/>
        </w:rPr>
        <w:t xml:space="preserve">1.04 DEFINITIONS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b/>
          <w:bCs/>
          <w:sz w:val="21"/>
          <w:szCs w:val="21"/>
        </w:rPr>
        <w:t xml:space="preserve">Cassette (Module): </w:t>
      </w:r>
      <w:r>
        <w:rPr>
          <w:rFonts w:ascii="Arial" w:cs="Arial" w:eastAsia="Arial" w:hAnsi="Arial"/>
          <w:sz w:val="21"/>
          <w:szCs w:val="21"/>
        </w:rPr>
        <w:t xml:space="preserve">An assembled array of membrane plates in a structural frame with permeate headers and an integral air scour system, furnished as one liftable unit.</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b/>
          <w:bCs/>
          <w:sz w:val="21"/>
          <w:szCs w:val="21"/>
        </w:rPr>
        <w:t xml:space="preserve">Plate (Panel): </w:t>
      </w:r>
      <w:r>
        <w:rPr>
          <w:rFonts w:ascii="Arial" w:cs="Arial" w:eastAsia="Arial" w:hAnsi="Arial"/>
          <w:sz w:val="21"/>
          <w:szCs w:val="21"/>
        </w:rPr>
        <w:t xml:space="preserve">A rigid support plate carrying membrane on both faces, with an internal permeate drainage path and a permeate nozzle.</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b/>
          <w:bCs/>
          <w:sz w:val="21"/>
          <w:szCs w:val="21"/>
        </w:rPr>
        <w:t xml:space="preserve">Channel: </w:t>
      </w:r>
      <w:r>
        <w:rPr>
          <w:rFonts w:ascii="Arial" w:cs="Arial" w:eastAsia="Arial" w:hAnsi="Arial"/>
          <w:sz w:val="21"/>
          <w:szCs w:val="21"/>
        </w:rPr>
        <w:t xml:space="preserve">The open vertical gap between two adjacent plate faces through which mixed liquor and scour air rise.</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b/>
          <w:bCs/>
          <w:sz w:val="21"/>
          <w:szCs w:val="21"/>
        </w:rPr>
        <w:t xml:space="preserve">Targeted scouring: </w:t>
      </w:r>
      <w:r>
        <w:rPr>
          <w:rFonts w:ascii="Arial" w:cs="Arial" w:eastAsia="Arial" w:hAnsi="Arial"/>
          <w:sz w:val="21"/>
          <w:szCs w:val="21"/>
        </w:rPr>
        <w:t xml:space="preserve">An air scour arrangement in which scour air is injected at the base of each individual plate through a dedicated manifold, rather than released into a plenum shared by the plate array.</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b/>
          <w:bCs/>
          <w:sz w:val="21"/>
          <w:szCs w:val="21"/>
        </w:rPr>
        <w:t xml:space="preserve">Air scour valve: </w:t>
      </w:r>
      <w:r>
        <w:rPr>
          <w:rFonts w:ascii="Arial" w:cs="Arial" w:eastAsia="Arial" w:hAnsi="Arial"/>
          <w:sz w:val="21"/>
          <w:szCs w:val="21"/>
        </w:rPr>
        <w:t xml:space="preserve">A one-way elastomeric valve in the air path at the plate that passes scour air outward and prevents ingress of mixed liquor and sludge into the air passage.</w:t>
      </w:r>
    </w:p>
    <w:p>
      <w:pPr>
        <w:tabs>
          <w:tab w:val="left" w:pos="720"/>
        </w:tabs>
        <w:spacing w:after="90"/>
        <w:ind w:left="720" w:hanging="360"/>
      </w:pPr>
      <w:r>
        <w:rPr>
          <w:rFonts w:ascii="Arial" w:cs="Arial" w:eastAsia="Arial" w:hAnsi="Arial"/>
          <w:i w:val="false"/>
          <w:iCs w:val="false"/>
          <w:sz w:val="21"/>
          <w:szCs w:val="21"/>
        </w:rPr>
        <w:t xml:space="preserve">F.	</w:t>
      </w:r>
      <w:r>
        <w:rPr>
          <w:rFonts w:ascii="Arial" w:cs="Arial" w:eastAsia="Arial" w:hAnsi="Arial"/>
          <w:b/>
          <w:bCs/>
          <w:sz w:val="21"/>
          <w:szCs w:val="21"/>
        </w:rPr>
        <w:t xml:space="preserve">Flux: </w:t>
      </w:r>
      <w:r>
        <w:rPr>
          <w:rFonts w:ascii="Arial" w:cs="Arial" w:eastAsia="Arial" w:hAnsi="Arial"/>
          <w:sz w:val="21"/>
          <w:szCs w:val="21"/>
        </w:rPr>
        <w:t xml:space="preserve">Permeate flow rate per unit membrane area, expressed in gallons per square foot per day (gfd) or liters per square meter per hour (LMH).</w:t>
      </w:r>
    </w:p>
    <w:p>
      <w:pPr>
        <w:tabs>
          <w:tab w:val="left" w:pos="720"/>
        </w:tabs>
        <w:spacing w:after="90"/>
        <w:ind w:left="720" w:hanging="360"/>
      </w:pPr>
      <w:r>
        <w:rPr>
          <w:rFonts w:ascii="Arial" w:cs="Arial" w:eastAsia="Arial" w:hAnsi="Arial"/>
          <w:i w:val="false"/>
          <w:iCs w:val="false"/>
          <w:sz w:val="21"/>
          <w:szCs w:val="21"/>
        </w:rPr>
        <w:t xml:space="preserve">G.	</w:t>
      </w:r>
      <w:r>
        <w:rPr>
          <w:rFonts w:ascii="Arial" w:cs="Arial" w:eastAsia="Arial" w:hAnsi="Arial"/>
          <w:b/>
          <w:bCs/>
          <w:sz w:val="21"/>
          <w:szCs w:val="21"/>
        </w:rPr>
        <w:t xml:space="preserve">Transmembrane pressure (TMP): </w:t>
      </w:r>
      <w:r>
        <w:rPr>
          <w:rFonts w:ascii="Arial" w:cs="Arial" w:eastAsia="Arial" w:hAnsi="Arial"/>
          <w:sz w:val="21"/>
          <w:szCs w:val="21"/>
        </w:rPr>
        <w:t xml:space="preserve">The pressure differential across the membrane during permeate production.</w:t>
      </w:r>
    </w:p>
    <w:p>
      <w:pPr>
        <w:tabs>
          <w:tab w:val="left" w:pos="720"/>
        </w:tabs>
        <w:spacing w:after="90"/>
        <w:ind w:left="720" w:hanging="360"/>
      </w:pPr>
      <w:r>
        <w:rPr>
          <w:rFonts w:ascii="Arial" w:cs="Arial" w:eastAsia="Arial" w:hAnsi="Arial"/>
          <w:i w:val="false"/>
          <w:iCs w:val="false"/>
          <w:sz w:val="21"/>
          <w:szCs w:val="21"/>
        </w:rPr>
        <w:t xml:space="preserve">H.	</w:t>
      </w:r>
      <w:r>
        <w:rPr>
          <w:rFonts w:ascii="Arial" w:cs="Arial" w:eastAsia="Arial" w:hAnsi="Arial"/>
          <w:b/>
          <w:bCs/>
          <w:sz w:val="21"/>
          <w:szCs w:val="21"/>
        </w:rPr>
        <w:t xml:space="preserve">Clean-in-place (CIP): </w:t>
      </w:r>
      <w:r>
        <w:rPr>
          <w:rFonts w:ascii="Arial" w:cs="Arial" w:eastAsia="Arial" w:hAnsi="Arial"/>
          <w:sz w:val="21"/>
          <w:szCs w:val="21"/>
        </w:rPr>
        <w:t xml:space="preserve">Chemical cleaning of the membrane performed with the modules in the membrane tank, in accordance with a manufacturer-issued recipe.</w:t>
      </w:r>
    </w:p>
    <w:p>
      <w:pPr>
        <w:tabs>
          <w:tab w:val="left" w:pos="720"/>
        </w:tabs>
        <w:spacing w:after="90"/>
        <w:ind w:left="720" w:hanging="360"/>
      </w:pPr>
      <w:r>
        <w:rPr>
          <w:rFonts w:ascii="Arial" w:cs="Arial" w:eastAsia="Arial" w:hAnsi="Arial"/>
          <w:i w:val="false"/>
          <w:iCs w:val="false"/>
          <w:sz w:val="21"/>
          <w:szCs w:val="21"/>
        </w:rPr>
        <w:t xml:space="preserve">I.	</w:t>
      </w:r>
      <w:r>
        <w:rPr>
          <w:rFonts w:ascii="Arial" w:cs="Arial" w:eastAsia="Arial" w:hAnsi="Arial"/>
          <w:b/>
          <w:bCs/>
          <w:sz w:val="21"/>
          <w:szCs w:val="21"/>
        </w:rPr>
        <w:t xml:space="preserve">Relaxation: </w:t>
      </w:r>
      <w:r>
        <w:rPr>
          <w:rFonts w:ascii="Arial" w:cs="Arial" w:eastAsia="Arial" w:hAnsi="Arial"/>
          <w:sz w:val="21"/>
          <w:szCs w:val="21"/>
        </w:rPr>
        <w:t xml:space="preserve">A scheduled interruption of permeate production, with air scour continuing, to allow the membrane surface to recover.</w:t>
      </w:r>
    </w:p>
    <w:p>
      <w:pPr>
        <w:pStyle w:val="Heading2"/>
        <w:spacing w:after="120" w:before="260"/>
      </w:pPr>
      <w:r>
        <w:rPr>
          <w:rFonts w:ascii="Arial" w:cs="Arial" w:eastAsia="Arial" w:hAnsi="Arial"/>
          <w:b/>
          <w:bCs/>
          <w:color w:val="000000"/>
          <w:sz w:val="22"/>
          <w:szCs w:val="22"/>
        </w:rPr>
        <w:t xml:space="preserve">1.05 SYSTEM DESCRIPTION AND DESIGN CONDITIONS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Furnish submerged flat-sheet MBR modules sized for the conditions scheduled below. Membrane area shall be determined by the manufacturer to satisfy every scheduled condition simultaneously.</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Design conditions:</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960"/>
      </w:tblGrid>
      <w:tr>
        <w:trPr>
          <w:tblHeader/>
        </w:trPr>
        <w:tc>
          <w:tcPr>
            <w:tcW w:type="dxa" w:w="3200"/>
            <w:shd w:fill="E8EDF2" w:color="auto" w:val="clear"/>
            <w:tcMar>
              <w:top w:type="dxa" w:w="60"/>
              <w:left w:type="dxa" w:w="100"/>
              <w:bottom w:type="dxa" w:w="60"/>
              <w:right w:type="dxa" w:w="100"/>
            </w:tcMar>
          </w:tcPr>
          <w:p>
            <w:pPr>
              <w:spacing w:after="0"/>
            </w:pPr>
            <w:r>
              <w:rPr>
                <w:rFonts w:ascii="Arial" w:cs="Arial" w:eastAsia="Arial" w:hAnsi="Arial"/>
                <w:b/>
                <w:bCs/>
                <w:sz w:val="19"/>
                <w:szCs w:val="19"/>
              </w:rPr>
              <w:t xml:space="preserve">Parameter</w:t>
            </w:r>
          </w:p>
        </w:tc>
        <w:tc>
          <w:tcPr>
            <w:tcW w:type="dxa" w:w="3200"/>
            <w:shd w:fill="E8EDF2" w:color="auto" w:val="clear"/>
            <w:tcMar>
              <w:top w:type="dxa" w:w="60"/>
              <w:left w:type="dxa" w:w="100"/>
              <w:bottom w:type="dxa" w:w="60"/>
              <w:right w:type="dxa" w:w="100"/>
            </w:tcMar>
          </w:tcPr>
          <w:p>
            <w:pPr>
              <w:spacing w:after="0"/>
            </w:pPr>
            <w:r>
              <w:rPr>
                <w:rFonts w:ascii="Arial" w:cs="Arial" w:eastAsia="Arial" w:hAnsi="Arial"/>
                <w:b/>
                <w:bCs/>
                <w:sz w:val="19"/>
                <w:szCs w:val="19"/>
              </w:rPr>
              <w:t xml:space="preserve">Units</w:t>
            </w:r>
          </w:p>
        </w:tc>
        <w:tc>
          <w:tcPr>
            <w:tcW w:type="dxa" w:w="2960"/>
            <w:shd w:fill="E8EDF2" w:color="auto" w:val="clear"/>
            <w:tcMar>
              <w:top w:type="dxa" w:w="60"/>
              <w:left w:type="dxa" w:w="100"/>
              <w:bottom w:type="dxa" w:w="60"/>
              <w:right w:type="dxa" w:w="100"/>
            </w:tcMar>
          </w:tcPr>
          <w:p>
            <w:pPr>
              <w:spacing w:after="0"/>
            </w:pPr>
            <w:r>
              <w:rPr>
                <w:rFonts w:ascii="Arial" w:cs="Arial" w:eastAsia="Arial" w:hAnsi="Arial"/>
                <w:b/>
                <w:bCs/>
                <w:sz w:val="19"/>
                <w:szCs w:val="19"/>
              </w:rPr>
              <w:t xml:space="preserve">Project value</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Average daily flow</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MGD</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Maximum month flow</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MGD</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Peak hour flow</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MGD</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Minimum sustained liquid temperature</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°C</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Design MLSS in the membrane tank</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mg/L</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[8,000 – 12,000]</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Upstream screening aperture</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mm</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[2, perforated]</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Operating pH range</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[6.0 – 9.0]</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Number of membrane trains</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ea</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Redundancy basis (largest train out of service)</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[Yes / No]</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Maximum design flux, sustained</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gfd</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Maximum design flux, peak hour</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gfd</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Maximum permitted TMP at design flux</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psi</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Membrane tank side water depth</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ft</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Seismic design category</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w:t>
            </w:r>
          </w:p>
        </w:tc>
      </w:tr>
    </w:tbl>
    <w:p>
      <w:pPr>
        <w:spacing w:after="140"/>
      </w:pP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Do not specify a flux without also specifying the temperature and the MLSS it applies at, and do not specify peak flux without a duration. Flat sheet flux is temperature sensitive; a flux number floating free of its conditions is unenforceable and invites non-comparable bids.</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The modules shall produce permeate by [applied vacuum] [gravity siphon] withdrawal. Backwashing of the membrane is not required and shall not be performed.</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Air scour shall run continuously during permeate production and during relaxation. Cyclic or intermittent scour is not part of this design.</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Continuous scour is a real energy line item and reviewers will compare it against cyclic-scour products. The scour air demand in Article 2.08 is the honest number; carry it into the blower sizing rather than discovering it at submittal.</w:t>
      </w:r>
    </w:p>
    <w:p>
      <w:pPr>
        <w:pStyle w:val="Heading2"/>
        <w:spacing w:after="120" w:before="260"/>
      </w:pPr>
      <w:r>
        <w:rPr>
          <w:rFonts w:ascii="Arial" w:cs="Arial" w:eastAsia="Arial" w:hAnsi="Arial"/>
          <w:b/>
          <w:bCs/>
          <w:color w:val="000000"/>
          <w:sz w:val="22"/>
          <w:szCs w:val="22"/>
        </w:rPr>
        <w:t xml:space="preserve">1.06 SUBMITTALS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Product data for each module type, including materials of construction for every wetted component.</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Shop drawings:</w:t>
      </w:r>
    </w:p>
    <w:p>
      <w:pPr>
        <w:tabs>
          <w:tab w:val="left" w:pos="1440"/>
        </w:tabs>
        <w:spacing w:after="90"/>
        <w:ind w:left="1440" w:hanging="360"/>
      </w:pPr>
      <w:r>
        <w:rPr>
          <w:rFonts w:ascii="Arial" w:cs="Arial" w:eastAsia="Arial" w:hAnsi="Arial"/>
          <w:i w:val="false"/>
          <w:iCs w:val="false"/>
          <w:sz w:val="21"/>
          <w:szCs w:val="21"/>
        </w:rPr>
        <w:t xml:space="preserve">1.	</w:t>
      </w:r>
      <w:r>
        <w:rPr>
          <w:rFonts w:ascii="Arial" w:cs="Arial" w:eastAsia="Arial" w:hAnsi="Arial"/>
          <w:i w:val="false"/>
          <w:iCs w:val="false"/>
          <w:sz w:val="21"/>
          <w:szCs w:val="21"/>
        </w:rPr>
        <w:t xml:space="preserve">Overall module dimensions, plan and elevation.</w:t>
      </w:r>
    </w:p>
    <w:p>
      <w:pPr>
        <w:tabs>
          <w:tab w:val="left" w:pos="1440"/>
        </w:tabs>
        <w:spacing w:after="90"/>
        <w:ind w:left="1440" w:hanging="360"/>
      </w:pPr>
      <w:r>
        <w:rPr>
          <w:rFonts w:ascii="Arial" w:cs="Arial" w:eastAsia="Arial" w:hAnsi="Arial"/>
          <w:i w:val="false"/>
          <w:iCs w:val="false"/>
          <w:sz w:val="21"/>
          <w:szCs w:val="21"/>
        </w:rPr>
        <w:t xml:space="preserve">2.	</w:t>
      </w:r>
      <w:r>
        <w:rPr>
          <w:rFonts w:ascii="Arial" w:cs="Arial" w:eastAsia="Arial" w:hAnsi="Arial"/>
          <w:i w:val="false"/>
          <w:iCs w:val="false"/>
          <w:sz w:val="21"/>
          <w:szCs w:val="21"/>
        </w:rPr>
        <w:t xml:space="preserve">Dry weight, wetted operating weight, and lift-out weight of each module.</w:t>
      </w:r>
    </w:p>
    <w:p>
      <w:pPr>
        <w:tabs>
          <w:tab w:val="left" w:pos="1440"/>
        </w:tabs>
        <w:spacing w:after="90"/>
        <w:ind w:left="1440" w:hanging="360"/>
      </w:pPr>
      <w:r>
        <w:rPr>
          <w:rFonts w:ascii="Arial" w:cs="Arial" w:eastAsia="Arial" w:hAnsi="Arial"/>
          <w:i w:val="false"/>
          <w:iCs w:val="false"/>
          <w:sz w:val="21"/>
          <w:szCs w:val="21"/>
        </w:rPr>
        <w:t xml:space="preserve">3.	</w:t>
      </w:r>
      <w:r>
        <w:rPr>
          <w:rFonts w:ascii="Arial" w:cs="Arial" w:eastAsia="Arial" w:hAnsi="Arial"/>
          <w:i w:val="false"/>
          <w:iCs w:val="false"/>
          <w:sz w:val="21"/>
          <w:szCs w:val="21"/>
        </w:rPr>
        <w:t xml:space="preserve">Designated lifting points and rated lifting attachments.</w:t>
      </w:r>
    </w:p>
    <w:p>
      <w:pPr>
        <w:tabs>
          <w:tab w:val="left" w:pos="1440"/>
        </w:tabs>
        <w:spacing w:after="90"/>
        <w:ind w:left="1440" w:hanging="360"/>
      </w:pPr>
      <w:r>
        <w:rPr>
          <w:rFonts w:ascii="Arial" w:cs="Arial" w:eastAsia="Arial" w:hAnsi="Arial"/>
          <w:i w:val="false"/>
          <w:iCs w:val="false"/>
          <w:sz w:val="21"/>
          <w:szCs w:val="21"/>
        </w:rPr>
        <w:t xml:space="preserve">4.	</w:t>
      </w:r>
      <w:r>
        <w:rPr>
          <w:rFonts w:ascii="Arial" w:cs="Arial" w:eastAsia="Arial" w:hAnsi="Arial"/>
          <w:i w:val="false"/>
          <w:iCs w:val="false"/>
          <w:sz w:val="21"/>
          <w:szCs w:val="21"/>
        </w:rPr>
        <w:t xml:space="preserve">Guide rail interface, module footprint, and support/anchorage details.</w:t>
      </w:r>
    </w:p>
    <w:p>
      <w:pPr>
        <w:tabs>
          <w:tab w:val="left" w:pos="1440"/>
        </w:tabs>
        <w:spacing w:after="90"/>
        <w:ind w:left="1440" w:hanging="360"/>
      </w:pPr>
      <w:r>
        <w:rPr>
          <w:rFonts w:ascii="Arial" w:cs="Arial" w:eastAsia="Arial" w:hAnsi="Arial"/>
          <w:i w:val="false"/>
          <w:iCs w:val="false"/>
          <w:sz w:val="21"/>
          <w:szCs w:val="21"/>
        </w:rPr>
        <w:t xml:space="preserve">5.	</w:t>
      </w:r>
      <w:r>
        <w:rPr>
          <w:rFonts w:ascii="Arial" w:cs="Arial" w:eastAsia="Arial" w:hAnsi="Arial"/>
          <w:i w:val="false"/>
          <w:iCs w:val="false"/>
          <w:sz w:val="21"/>
          <w:szCs w:val="21"/>
        </w:rPr>
        <w:t xml:space="preserve">Permeate header and air header connection size, rating, orientation, and centerline elevation.</w:t>
      </w:r>
    </w:p>
    <w:p>
      <w:pPr>
        <w:tabs>
          <w:tab w:val="left" w:pos="1440"/>
        </w:tabs>
        <w:spacing w:after="90"/>
        <w:ind w:left="1440" w:hanging="360"/>
      </w:pPr>
      <w:r>
        <w:rPr>
          <w:rFonts w:ascii="Arial" w:cs="Arial" w:eastAsia="Arial" w:hAnsi="Arial"/>
          <w:i w:val="false"/>
          <w:iCs w:val="false"/>
          <w:sz w:val="21"/>
          <w:szCs w:val="21"/>
        </w:rPr>
        <w:t xml:space="preserve">6.	</w:t>
      </w:r>
      <w:r>
        <w:rPr>
          <w:rFonts w:ascii="Arial" w:cs="Arial" w:eastAsia="Arial" w:hAnsi="Arial"/>
          <w:i w:val="false"/>
          <w:iCs w:val="false"/>
          <w:sz w:val="21"/>
          <w:szCs w:val="21"/>
        </w:rPr>
        <w:t xml:space="preserve">Required clearances for module removal and for plate replacement.</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Membrane area calculation showing installed area, area with the largest train out of service, and resulting flux at each scheduled flow and temperature.</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Air scour demand at the module in SCFM, with the delivery pressure required at the module air header connection at maximum submergence.</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Structural calculations for the module frame and lifting attachments, covering the operating case and the lift-out case, wetted, sealed and signed by a Professional Engineer registered in the Project state.</w:t>
      </w:r>
    </w:p>
    <w:p>
      <w:pPr>
        <w:tabs>
          <w:tab w:val="left" w:pos="720"/>
        </w:tabs>
        <w:spacing w:after="90"/>
        <w:ind w:left="720" w:hanging="360"/>
      </w:pPr>
      <w:r>
        <w:rPr>
          <w:rFonts w:ascii="Arial" w:cs="Arial" w:eastAsia="Arial" w:hAnsi="Arial"/>
          <w:i w:val="false"/>
          <w:iCs w:val="false"/>
          <w:sz w:val="21"/>
          <w:szCs w:val="21"/>
        </w:rPr>
        <w:t xml:space="preserve">F.	</w:t>
      </w:r>
      <w:r>
        <w:rPr>
          <w:rFonts w:ascii="Arial" w:cs="Arial" w:eastAsia="Arial" w:hAnsi="Arial"/>
          <w:i w:val="false"/>
          <w:iCs w:val="false"/>
          <w:sz w:val="21"/>
          <w:szCs w:val="21"/>
        </w:rPr>
        <w:t xml:space="preserve">Manufacturer’s CIP procedure, including chemical agents, concentration, contact time, temperature limits, scour condition during cleaning, and the record form to be completed by the Owner.</w:t>
      </w:r>
    </w:p>
    <w:p>
      <w:pPr>
        <w:tabs>
          <w:tab w:val="left" w:pos="720"/>
        </w:tabs>
        <w:spacing w:after="90"/>
        <w:ind w:left="720" w:hanging="360"/>
      </w:pPr>
      <w:r>
        <w:rPr>
          <w:rFonts w:ascii="Arial" w:cs="Arial" w:eastAsia="Arial" w:hAnsi="Arial"/>
          <w:i w:val="false"/>
          <w:iCs w:val="false"/>
          <w:sz w:val="21"/>
          <w:szCs w:val="21"/>
        </w:rPr>
        <w:t xml:space="preserve">G.	</w:t>
      </w:r>
      <w:r>
        <w:rPr>
          <w:rFonts w:ascii="Arial" w:cs="Arial" w:eastAsia="Arial" w:hAnsi="Arial"/>
          <w:i w:val="false"/>
          <w:iCs w:val="false"/>
          <w:sz w:val="21"/>
          <w:szCs w:val="21"/>
        </w:rPr>
        <w:t xml:space="preserve">Operation and maintenance manual, including plate replacement and scour manifold service procedures.</w:t>
      </w:r>
    </w:p>
    <w:p>
      <w:pPr>
        <w:tabs>
          <w:tab w:val="left" w:pos="720"/>
        </w:tabs>
        <w:spacing w:after="90"/>
        <w:ind w:left="720" w:hanging="360"/>
      </w:pPr>
      <w:r>
        <w:rPr>
          <w:rFonts w:ascii="Arial" w:cs="Arial" w:eastAsia="Arial" w:hAnsi="Arial"/>
          <w:i w:val="false"/>
          <w:iCs w:val="false"/>
          <w:sz w:val="21"/>
          <w:szCs w:val="21"/>
        </w:rPr>
        <w:t xml:space="preserve">H.	</w:t>
      </w:r>
      <w:r>
        <w:rPr>
          <w:rFonts w:ascii="Arial" w:cs="Arial" w:eastAsia="Arial" w:hAnsi="Arial"/>
          <w:i w:val="false"/>
          <w:iCs w:val="false"/>
          <w:sz w:val="21"/>
          <w:szCs w:val="21"/>
        </w:rPr>
        <w:t xml:space="preserve">Certificate of origin and BABA compliance statement for the modules furnished.</w:t>
      </w:r>
    </w:p>
    <w:p>
      <w:pPr>
        <w:tabs>
          <w:tab w:val="left" w:pos="720"/>
        </w:tabs>
        <w:spacing w:after="90"/>
        <w:ind w:left="720" w:hanging="360"/>
      </w:pPr>
      <w:r>
        <w:rPr>
          <w:rFonts w:ascii="Arial" w:cs="Arial" w:eastAsia="Arial" w:hAnsi="Arial"/>
          <w:i w:val="false"/>
          <w:iCs w:val="false"/>
          <w:sz w:val="21"/>
          <w:szCs w:val="21"/>
        </w:rPr>
        <w:t xml:space="preserve">I.	</w:t>
      </w:r>
      <w:r>
        <w:rPr>
          <w:rFonts w:ascii="Arial" w:cs="Arial" w:eastAsia="Arial" w:hAnsi="Arial"/>
          <w:i w:val="false"/>
          <w:iCs w:val="false"/>
          <w:sz w:val="21"/>
          <w:szCs w:val="21"/>
        </w:rPr>
        <w:t xml:space="preserve">Written statement that no intentionally added PFAS are present in the membrane, the support plate, or the elastomeric components.</w:t>
      </w:r>
    </w:p>
    <w:p>
      <w:pPr>
        <w:tabs>
          <w:tab w:val="left" w:pos="720"/>
        </w:tabs>
        <w:spacing w:after="90"/>
        <w:ind w:left="720" w:hanging="360"/>
      </w:pPr>
      <w:r>
        <w:rPr>
          <w:rFonts w:ascii="Arial" w:cs="Arial" w:eastAsia="Arial" w:hAnsi="Arial"/>
          <w:i w:val="false"/>
          <w:iCs w:val="false"/>
          <w:sz w:val="21"/>
          <w:szCs w:val="21"/>
        </w:rPr>
        <w:t xml:space="preserve">J.	</w:t>
      </w:r>
      <w:r>
        <w:rPr>
          <w:rFonts w:ascii="Arial" w:cs="Arial" w:eastAsia="Arial" w:hAnsi="Arial"/>
          <w:i w:val="false"/>
          <w:iCs w:val="false"/>
          <w:sz w:val="21"/>
          <w:szCs w:val="21"/>
        </w:rPr>
        <w:t xml:space="preserve">Manufacturer’s standard warranty and any project-specific extended warranty offered.</w:t>
      </w:r>
    </w:p>
    <w:p>
      <w:pPr>
        <w:tabs>
          <w:tab w:val="left" w:pos="720"/>
        </w:tabs>
        <w:spacing w:after="90"/>
        <w:ind w:left="720" w:hanging="360"/>
      </w:pPr>
      <w:r>
        <w:rPr>
          <w:rFonts w:ascii="Arial" w:cs="Arial" w:eastAsia="Arial" w:hAnsi="Arial"/>
          <w:i w:val="false"/>
          <w:iCs w:val="false"/>
          <w:sz w:val="21"/>
          <w:szCs w:val="21"/>
        </w:rPr>
        <w:t xml:space="preserve">K.	</w:t>
      </w:r>
      <w:r>
        <w:rPr>
          <w:rFonts w:ascii="Arial" w:cs="Arial" w:eastAsia="Arial" w:hAnsi="Arial"/>
          <w:i w:val="false"/>
          <w:iCs w:val="false"/>
          <w:sz w:val="21"/>
          <w:szCs w:val="21"/>
        </w:rPr>
        <w:t xml:space="preserve">Recommended spare parts list with unit pricing, valid [12] months from Substantial Completion.</w:t>
      </w:r>
    </w:p>
    <w:p>
      <w:pPr>
        <w:tabs>
          <w:tab w:val="left" w:pos="720"/>
        </w:tabs>
        <w:spacing w:after="90"/>
        <w:ind w:left="720" w:hanging="360"/>
      </w:pPr>
      <w:r>
        <w:rPr>
          <w:rFonts w:ascii="Arial" w:cs="Arial" w:eastAsia="Arial" w:hAnsi="Arial"/>
          <w:i w:val="false"/>
          <w:iCs w:val="false"/>
          <w:sz w:val="21"/>
          <w:szCs w:val="21"/>
        </w:rPr>
        <w:t xml:space="preserve">L.	</w:t>
      </w:r>
      <w:r>
        <w:rPr>
          <w:rFonts w:ascii="Arial" w:cs="Arial" w:eastAsia="Arial" w:hAnsi="Arial"/>
          <w:i w:val="false"/>
          <w:iCs w:val="false"/>
          <w:sz w:val="21"/>
          <w:szCs w:val="21"/>
        </w:rPr>
        <w:t xml:space="preserve">[Computational fluid dynamics or finite element analysis reports relied upon in the proposal. Where such analyses are offered, they shall be identified as predictions under stated modeling assumptions and shall not be represented as plant performance data.]</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Item L is worth keeping. It forces every bidder to label modeling as modeling, which is the single most common place where MBR proposals mislead a reviewer.</w:t>
      </w:r>
    </w:p>
    <w:p>
      <w:pPr>
        <w:pStyle w:val="Heading2"/>
        <w:spacing w:after="120" w:before="260"/>
      </w:pPr>
      <w:r>
        <w:rPr>
          <w:rFonts w:ascii="Arial" w:cs="Arial" w:eastAsia="Arial" w:hAnsi="Arial"/>
          <w:b/>
          <w:bCs/>
          <w:color w:val="000000"/>
          <w:sz w:val="22"/>
          <w:szCs w:val="22"/>
        </w:rPr>
        <w:t xml:space="preserve">1.07 QUALITY ASSURANCE</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Single-source responsibility: the membrane modules, plates, frames, headers, and air scour components shall be furnished by one manufacturer.</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Manufacturer qualifications: the manufacturer shall have [ten (10)] years of experience in the design and manufacture of aeration or filtration equipment for municipal wastewater treatment, and shall manufacture the modules in a facility it owns or operates.</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The conventional clause here is "ten installations of the identical module in municipal service for five years," which excludes every product introduced in the last five years and is the reason this market has three suppliers. If the Owner wants competition, qualify the manufacturer rather than the model number, and manage product risk through the extended warranty, the piloting provisions, and the spare-parts commitment instead. If the Owner will not accept new-product risk, say so plainly here rather than writing a specification that pretends to be open.</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Welding of stainless steel structural components shall be performed by welders qualified in accordance with AWS D1.6.</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[The Owner reserves the right to require a witnessed factory demonstration of one complete module prior to shipment.]</w:t>
      </w:r>
    </w:p>
    <w:p>
      <w:pPr>
        <w:pStyle w:val="Heading2"/>
        <w:spacing w:after="120" w:before="260"/>
      </w:pPr>
      <w:r>
        <w:rPr>
          <w:rFonts w:ascii="Arial" w:cs="Arial" w:eastAsia="Arial" w:hAnsi="Arial"/>
          <w:b/>
          <w:bCs/>
          <w:color w:val="000000"/>
          <w:sz w:val="22"/>
          <w:szCs w:val="22"/>
        </w:rPr>
        <w:t xml:space="preserve">1.08 DELIVERY, STORAGE, AND HANDLING</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Ship modules crated, with plates installed, protected against impact and abrasion.</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The membrane is spontaneously wettable and contains no glycol or other liquid preservative. Modules may be stored wet or dry prior to first wetting.</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Once wetted, membrane shall not be permitted to dry out and shall not be exposed to freezing.</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Store out of direct sunlight. Protect from ultraviolet exposure.</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Lift only at the designated lifting attachments. Do not lift by headers, piping, or plates.</w:t>
      </w:r>
    </w:p>
    <w:p>
      <w:pPr>
        <w:pStyle w:val="Heading2"/>
        <w:spacing w:after="120" w:before="260"/>
      </w:pPr>
      <w:r>
        <w:rPr>
          <w:rFonts w:ascii="Arial" w:cs="Arial" w:eastAsia="Arial" w:hAnsi="Arial"/>
          <w:b/>
          <w:bCs/>
          <w:color w:val="000000"/>
          <w:sz w:val="22"/>
          <w:szCs w:val="22"/>
        </w:rPr>
        <w:t xml:space="preserve">1.09 WARRANTY</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Furnish the manufacturer’s warranty against defects in materials and workmanship affecting module integrity in municipal wastewater service, for a period of not less than [two (2)] years from [Substantial Completion] [start-up] [shipment], non-prorated.</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[Furnish an extended membrane warranty of [five (5)] years, prorated after year [two (2)], where offered by the manufacturer for this project.]</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The warranty does not constitute a guarantee of permeate quality or of permit compliance.</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Warranty coverage is contingent on operation within the scheduled design conditions and on cleaning in accordance with the manufacturer’s issued CIP recipe, with records maintained.</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Two years non-prorated on module integrity is the Basis of Design manufacturer’s standard. Longer prorated membrane terms are available in this market. Decide which the Owner actually values — a short non-prorated term and a long prorated term are not comparable, and bid tabs routinely treat them as if they were.</w:t>
      </w:r>
    </w:p>
    <w:p>
      <w:pPr>
        <w:pStyle w:val="Heading2"/>
        <w:spacing w:after="120" w:before="260"/>
      </w:pPr>
      <w:r>
        <w:rPr>
          <w:rFonts w:ascii="Arial" w:cs="Arial" w:eastAsia="Arial" w:hAnsi="Arial"/>
          <w:b/>
          <w:bCs/>
          <w:color w:val="000000"/>
          <w:sz w:val="22"/>
          <w:szCs w:val="22"/>
        </w:rPr>
        <w:t xml:space="preserve">1.10 DOMESTIC PREFERENCE</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The membrane modules furnished under this Section shall comply with Build America, Buy America (BABA) requirements at the module level: manufactured in the United States, with the cost of components mined, produced, or manufactured in the United States meeting the applicable threshold.</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Furnish a project-specific certificate of origin at submittal and again with the shipment.</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[Where the project is funded through CWSRF or DWSRF, iron and steel products incorporated into the modules shall comply with American Iron and Steel (AIS) requirements.]</w:t>
      </w:r>
    </w:p>
    <w:p>
      <w:pPr>
        <w:pStyle w:val="Heading1"/>
        <w:spacing w:after="200" w:before="400"/>
      </w:pPr>
      <w:r>
        <w:rPr>
          <w:rFonts w:ascii="Arial" w:cs="Arial" w:eastAsia="Arial" w:hAnsi="Arial"/>
          <w:b/>
          <w:bCs/>
          <w:color w:val="000000"/>
          <w:sz w:val="24"/>
          <w:szCs w:val="24"/>
        </w:rPr>
        <w:t xml:space="preserve">PART 2 – PRODUCTS</w:t>
      </w:r>
    </w:p>
    <w:p>
      <w:pPr>
        <w:pStyle w:val="Heading2"/>
        <w:spacing w:after="120" w:before="260"/>
      </w:pPr>
      <w:r>
        <w:rPr>
          <w:rFonts w:ascii="Arial" w:cs="Arial" w:eastAsia="Arial" w:hAnsi="Arial"/>
          <w:b/>
          <w:bCs/>
          <w:color w:val="000000"/>
          <w:sz w:val="22"/>
          <w:szCs w:val="22"/>
        </w:rPr>
        <w:t xml:space="preserve">2.01 MANUFACTURERS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Basis of Design: Zyramic Palisade submerged flat-sheet MBR module with targeted scouring, Zyramic, Inc., 10 Tucker Drive, Poughkeepsie, NY 12603; +1 845 402 6318; tom@zyramic.com.</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Substitutions: [in accordance with Section 01 25 00] [not permitted] [permitted, subject to prior approval not less than ten (10) days before bid].</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A proposed substitution shall demonstrate compliance with every requirement of Part 2, including the air scour arrangement of Article 2.05.</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If the Owner wants targeted scouring specifically, Article 2.05 as written is the restrictive clause and should be defended on function — dedicated air delivery to each channel — rather than by naming the product. If the Owner wants an open procurement, relax 2.05.A and 2.05.B to a uniformity requirement and let bidders meet it however they can.</w:t>
      </w:r>
    </w:p>
    <w:p>
      <w:pPr>
        <w:pStyle w:val="Heading2"/>
        <w:spacing w:after="120" w:before="260"/>
      </w:pPr>
      <w:r>
        <w:rPr>
          <w:rFonts w:ascii="Arial" w:cs="Arial" w:eastAsia="Arial" w:hAnsi="Arial"/>
          <w:b/>
          <w:bCs/>
          <w:color w:val="000000"/>
          <w:sz w:val="22"/>
          <w:szCs w:val="22"/>
        </w:rPr>
        <w:t xml:space="preserve">2.02 MODULE, GENERAL</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Modules shall be of the submerged flat-sheet type, consisting of rigid membrane plates mounted vertically in a parallel array within a structural frame, operating fully submerged in mixed liquor.</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Configuration:</w:t>
      </w:r>
    </w:p>
    <w:p>
      <w:pPr>
        <w:tabs>
          <w:tab w:val="left" w:pos="1440"/>
        </w:tabs>
        <w:spacing w:after="90"/>
        <w:ind w:left="1440" w:hanging="360"/>
      </w:pPr>
      <w:r>
        <w:rPr>
          <w:rFonts w:ascii="Arial" w:cs="Arial" w:eastAsia="Arial" w:hAnsi="Arial"/>
          <w:i w:val="false"/>
          <w:iCs w:val="false"/>
          <w:sz w:val="21"/>
          <w:szCs w:val="21"/>
        </w:rPr>
        <w:t xml:space="preserve">1.	</w:t>
      </w:r>
      <w:r>
        <w:rPr>
          <w:rFonts w:ascii="Arial" w:cs="Arial" w:eastAsia="Arial" w:hAnsi="Arial"/>
          <w:i w:val="false"/>
          <w:iCs w:val="false"/>
          <w:sz w:val="21"/>
          <w:szCs w:val="21"/>
        </w:rPr>
        <w:t xml:space="preserve">Single-deck module: 130 plates, approximately 136.5 m² (1,469 ft²) of membrane area.</w:t>
      </w:r>
    </w:p>
    <w:p>
      <w:pPr>
        <w:tabs>
          <w:tab w:val="left" w:pos="1440"/>
        </w:tabs>
        <w:spacing w:after="90"/>
        <w:ind w:left="1440" w:hanging="360"/>
      </w:pPr>
      <w:r>
        <w:rPr>
          <w:rFonts w:ascii="Arial" w:cs="Arial" w:eastAsia="Arial" w:hAnsi="Arial"/>
          <w:i w:val="false"/>
          <w:iCs w:val="false"/>
          <w:sz w:val="21"/>
          <w:szCs w:val="21"/>
        </w:rPr>
        <w:t xml:space="preserve">2.	</w:t>
      </w:r>
      <w:r>
        <w:rPr>
          <w:rFonts w:ascii="Arial" w:cs="Arial" w:eastAsia="Arial" w:hAnsi="Arial"/>
          <w:i w:val="false"/>
          <w:iCs w:val="false"/>
          <w:sz w:val="21"/>
          <w:szCs w:val="21"/>
        </w:rPr>
        <w:t xml:space="preserve">Double-deck module: 260 plates, approximately 273 m² (2,938 ft²) of membrane area.</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Each plate shall provide approximately 1.05 m² (11.3 ft²) of membrane area, both faces combined.</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Nominal plate dimensions shall be 1,047 mm high × 502 mm wide × 7.60 mm thick (41.2 × 19.8 × 0.30 in).</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Clear channel spacing between adjacent plate faces shall be not less than 6.40 mm (0.25 in).</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Panel height and channel gap are the two dimensions that govern whether the upper portion of the plate stays scoured. Both are stated here so that a substitution cannot quietly deepen the packing or lengthen the panel.</w:t>
      </w:r>
    </w:p>
    <w:p>
      <w:pPr>
        <w:tabs>
          <w:tab w:val="left" w:pos="720"/>
        </w:tabs>
        <w:spacing w:after="90"/>
        <w:ind w:left="720" w:hanging="360"/>
      </w:pPr>
      <w:r>
        <w:rPr>
          <w:rFonts w:ascii="Arial" w:cs="Arial" w:eastAsia="Arial" w:hAnsi="Arial"/>
          <w:i w:val="false"/>
          <w:iCs w:val="false"/>
          <w:sz w:val="21"/>
          <w:szCs w:val="21"/>
        </w:rPr>
        <w:t xml:space="preserve">F.	</w:t>
      </w:r>
      <w:r>
        <w:rPr>
          <w:rFonts w:ascii="Arial" w:cs="Arial" w:eastAsia="Arial" w:hAnsi="Arial"/>
          <w:i w:val="false"/>
          <w:iCs w:val="false"/>
          <w:sz w:val="21"/>
          <w:szCs w:val="21"/>
        </w:rPr>
        <w:t xml:space="preserve">Individual plates shall be field-replaceable without removing or disassembling adjacent plates.</w:t>
      </w:r>
    </w:p>
    <w:p>
      <w:pPr>
        <w:pStyle w:val="Heading2"/>
        <w:spacing w:after="120" w:before="260"/>
      </w:pPr>
      <w:r>
        <w:rPr>
          <w:rFonts w:ascii="Arial" w:cs="Arial" w:eastAsia="Arial" w:hAnsi="Arial"/>
          <w:b/>
          <w:bCs/>
          <w:color w:val="000000"/>
          <w:sz w:val="22"/>
          <w:szCs w:val="22"/>
        </w:rPr>
        <w:t xml:space="preserve">2.03 MEMBRANE</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Membrane shall be polyethersulfone (PES) flat sheet, nominal pore size 0.04 micron, supplied by a manufacturer with not less than [five (5)] years of commercial production of the specified sheet.</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Membrane shall be bonded to both faces of the support plate by a continuous perimeter weld. Adhesive-only attachment is not acceptable.</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Membrane shall be spontaneously wettable, requiring no wetting agent, and shall contain no glycol or other liquid preservative.</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Membrane shall contain no intentionally added PFAS.</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The membrane shall be supported across its full area by the support plate. Unsupported thin-film sheet construction is not acceptable.</w:t>
      </w:r>
    </w:p>
    <w:p>
      <w:pPr>
        <w:pStyle w:val="Heading2"/>
        <w:spacing w:after="120" w:before="260"/>
      </w:pPr>
      <w:r>
        <w:rPr>
          <w:rFonts w:ascii="Arial" w:cs="Arial" w:eastAsia="Arial" w:hAnsi="Arial"/>
          <w:b/>
          <w:bCs/>
          <w:color w:val="000000"/>
          <w:sz w:val="22"/>
          <w:szCs w:val="22"/>
        </w:rPr>
        <w:t xml:space="preserve">2.04 SUPPORT PLATE</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Support plate shall be injection-molded polypropylene conforming to ASTM D4101, mineral-filled for dimensional stability.</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The plate shall incorporate internal permeate drainage passages conveying permeate from both membrane faces to a single permeate nozzle.</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The permeate nozzle shall connect to the module permeate header by a flexible connection permitting individual plate removal.</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Plates shall be free of PFAS-containing processing aids.</w:t>
      </w:r>
    </w:p>
    <w:p>
      <w:pPr>
        <w:pStyle w:val="Heading2"/>
        <w:spacing w:after="120" w:before="260"/>
      </w:pPr>
      <w:r>
        <w:rPr>
          <w:rFonts w:ascii="Arial" w:cs="Arial" w:eastAsia="Arial" w:hAnsi="Arial"/>
          <w:b/>
          <w:bCs/>
          <w:color w:val="000000"/>
          <w:sz w:val="22"/>
          <w:szCs w:val="22"/>
        </w:rPr>
        <w:t xml:space="preserve">2.05 AIR SCOUR SYSTEM</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The module shall deliver scour air to the base of each individual plate through a dedicated air scour manifold. A shared bottom plenum releasing air beneath the plate array is not acceptable.</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The air scour manifold shall be modular and detachable from the plate, and shall be serviceable on the bench without cutting, drilling, or disassembly of the module frame.</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Each air discharge point shall be fitted with an air scour valve of elastomeric one-way construction that prevents ingress of mixed liquor and sludge into the air passage when air flow is interrupted.</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Air scour valves shall be individually replaceable.</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Scour air demand shall be 10 L/min per square meter of membrane area, equivalent to 0.35 SCFM per square meter:</w:t>
      </w:r>
    </w:p>
    <w:p>
      <w:pPr>
        <w:tabs>
          <w:tab w:val="left" w:pos="1440"/>
        </w:tabs>
        <w:spacing w:after="90"/>
        <w:ind w:left="1440" w:hanging="360"/>
      </w:pPr>
      <w:r>
        <w:rPr>
          <w:rFonts w:ascii="Arial" w:cs="Arial" w:eastAsia="Arial" w:hAnsi="Arial"/>
          <w:i w:val="false"/>
          <w:iCs w:val="false"/>
          <w:sz w:val="21"/>
          <w:szCs w:val="21"/>
        </w:rPr>
        <w:t xml:space="preserve">1.	</w:t>
      </w:r>
      <w:r>
        <w:rPr>
          <w:rFonts w:ascii="Arial" w:cs="Arial" w:eastAsia="Arial" w:hAnsi="Arial"/>
          <w:i w:val="false"/>
          <w:iCs w:val="false"/>
          <w:sz w:val="21"/>
          <w:szCs w:val="21"/>
        </w:rPr>
        <w:t xml:space="preserve">Single-deck module (130 plates): 48 SCFM.</w:t>
      </w:r>
    </w:p>
    <w:p>
      <w:pPr>
        <w:tabs>
          <w:tab w:val="left" w:pos="1440"/>
        </w:tabs>
        <w:spacing w:after="90"/>
        <w:ind w:left="1440" w:hanging="360"/>
      </w:pPr>
      <w:r>
        <w:rPr>
          <w:rFonts w:ascii="Arial" w:cs="Arial" w:eastAsia="Arial" w:hAnsi="Arial"/>
          <w:i w:val="false"/>
          <w:iCs w:val="false"/>
          <w:sz w:val="21"/>
          <w:szCs w:val="21"/>
        </w:rPr>
        <w:t xml:space="preserve">2.	</w:t>
      </w:r>
      <w:r>
        <w:rPr>
          <w:rFonts w:ascii="Arial" w:cs="Arial" w:eastAsia="Arial" w:hAnsi="Arial"/>
          <w:i w:val="false"/>
          <w:iCs w:val="false"/>
          <w:sz w:val="21"/>
          <w:szCs w:val="21"/>
        </w:rPr>
        <w:t xml:space="preserve">Double-deck module (260 plates): 96 SCFM.</w:t>
      </w:r>
    </w:p>
    <w:p>
      <w:pPr>
        <w:tabs>
          <w:tab w:val="left" w:pos="720"/>
        </w:tabs>
        <w:spacing w:after="90"/>
        <w:ind w:left="720" w:hanging="360"/>
      </w:pPr>
      <w:r>
        <w:rPr>
          <w:rFonts w:ascii="Arial" w:cs="Arial" w:eastAsia="Arial" w:hAnsi="Arial"/>
          <w:i w:val="false"/>
          <w:iCs w:val="false"/>
          <w:sz w:val="21"/>
          <w:szCs w:val="21"/>
        </w:rPr>
        <w:t xml:space="preserve">F.	</w:t>
      </w:r>
      <w:r>
        <w:rPr>
          <w:rFonts w:ascii="Arial" w:cs="Arial" w:eastAsia="Arial" w:hAnsi="Arial"/>
          <w:i w:val="false"/>
          <w:iCs w:val="false"/>
          <w:sz w:val="21"/>
          <w:szCs w:val="21"/>
        </w:rPr>
        <w:t xml:space="preserve">The air scour system shall be designed for continuous operation. Air shall be supplied from blowers dedicated to the membrane tank and shall not be taken from a shared plant air header.</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Paragraph F is a real constraint on the blower specification in the companion Section. Membrane scour air that shares a header with other plant demands will not stay at the module’s design rate, and the module warranty in Article 1.09 is written against the design rate.</w:t>
      </w:r>
    </w:p>
    <w:p>
      <w:pPr>
        <w:pStyle w:val="Heading2"/>
        <w:spacing w:after="120" w:before="260"/>
      </w:pPr>
      <w:r>
        <w:rPr>
          <w:rFonts w:ascii="Arial" w:cs="Arial" w:eastAsia="Arial" w:hAnsi="Arial"/>
          <w:b/>
          <w:bCs/>
          <w:color w:val="000000"/>
          <w:sz w:val="22"/>
          <w:szCs w:val="22"/>
        </w:rPr>
        <w:t xml:space="preserve">2.06 FRAME, HEADERS, AND CONNECTIONS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Module frame shall be Type [304] [316] stainless steel conforming to ASTM A240 and ASTM A276.</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All submerged fasteners shall be stainless steel of the same or higher grade as the frame.</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Modules shall be furnished with dual permeate headers.</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Permeate and air connections shall be [2.5 in] Schedule 40, [flanged to ASME B16.5 Class 150] [grooved] [threaded].</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Frames shall be passivated after fabrication. Weld discoloration shall be removed.</w:t>
      </w:r>
    </w:p>
    <w:p>
      <w:pPr>
        <w:tabs>
          <w:tab w:val="left" w:pos="720"/>
        </w:tabs>
        <w:spacing w:after="90"/>
        <w:ind w:left="720" w:hanging="360"/>
      </w:pPr>
      <w:r>
        <w:rPr>
          <w:rFonts w:ascii="Arial" w:cs="Arial" w:eastAsia="Arial" w:hAnsi="Arial"/>
          <w:i w:val="false"/>
          <w:iCs w:val="false"/>
          <w:sz w:val="21"/>
          <w:szCs w:val="21"/>
        </w:rPr>
        <w:t xml:space="preserve">F.	</w:t>
      </w:r>
      <w:r>
        <w:rPr>
          <w:rFonts w:ascii="Arial" w:cs="Arial" w:eastAsia="Arial" w:hAnsi="Arial"/>
          <w:i w:val="false"/>
          <w:iCs w:val="false"/>
          <w:sz w:val="21"/>
          <w:szCs w:val="21"/>
        </w:rPr>
        <w:t xml:space="preserve">Lifting attachments shall be integral to the frame and rated for the wetted lift-out condition.</w:t>
      </w:r>
    </w:p>
    <w:p>
      <w:pPr>
        <w:pStyle w:val="Heading2"/>
        <w:spacing w:after="120" w:before="260"/>
      </w:pPr>
      <w:r>
        <w:rPr>
          <w:rFonts w:ascii="Arial" w:cs="Arial" w:eastAsia="Arial" w:hAnsi="Arial"/>
          <w:b/>
          <w:bCs/>
          <w:color w:val="000000"/>
          <w:sz w:val="22"/>
          <w:szCs w:val="22"/>
        </w:rPr>
        <w:t xml:space="preserve">2.07 ACCESSORIES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Furnish the following where indicated:</w:t>
      </w:r>
    </w:p>
    <w:p>
      <w:pPr>
        <w:tabs>
          <w:tab w:val="left" w:pos="1440"/>
        </w:tabs>
        <w:spacing w:after="90"/>
        <w:ind w:left="1440" w:hanging="360"/>
      </w:pPr>
      <w:r>
        <w:rPr>
          <w:rFonts w:ascii="Arial" w:cs="Arial" w:eastAsia="Arial" w:hAnsi="Arial"/>
          <w:i w:val="false"/>
          <w:iCs w:val="false"/>
          <w:sz w:val="21"/>
          <w:szCs w:val="21"/>
        </w:rPr>
        <w:t xml:space="preserve">1.	</w:t>
      </w:r>
      <w:r>
        <w:rPr>
          <w:rFonts w:ascii="Arial" w:cs="Arial" w:eastAsia="Arial" w:hAnsi="Arial"/>
          <w:i w:val="false"/>
          <w:iCs w:val="false"/>
          <w:sz w:val="21"/>
          <w:szCs w:val="21"/>
        </w:rPr>
        <w:t xml:space="preserve">Lifting attachments and lifting beam or spreader.</w:t>
      </w:r>
    </w:p>
    <w:p>
      <w:pPr>
        <w:tabs>
          <w:tab w:val="left" w:pos="1440"/>
        </w:tabs>
        <w:spacing w:after="90"/>
        <w:ind w:left="1440" w:hanging="360"/>
      </w:pPr>
      <w:r>
        <w:rPr>
          <w:rFonts w:ascii="Arial" w:cs="Arial" w:eastAsia="Arial" w:hAnsi="Arial"/>
          <w:i w:val="false"/>
          <w:iCs w:val="false"/>
          <w:sz w:val="21"/>
          <w:szCs w:val="21"/>
        </w:rPr>
        <w:t xml:space="preserve">2.	</w:t>
      </w:r>
      <w:r>
        <w:rPr>
          <w:rFonts w:ascii="Arial" w:cs="Arial" w:eastAsia="Arial" w:hAnsi="Arial"/>
          <w:i w:val="false"/>
          <w:iCs w:val="false"/>
          <w:sz w:val="21"/>
          <w:szCs w:val="21"/>
        </w:rPr>
        <w:t xml:space="preserve">Guide rails and guide rail brackets for module placement and removal.</w:t>
      </w:r>
    </w:p>
    <w:p>
      <w:pPr>
        <w:tabs>
          <w:tab w:val="left" w:pos="1440"/>
        </w:tabs>
        <w:spacing w:after="90"/>
        <w:ind w:left="1440" w:hanging="360"/>
      </w:pPr>
      <w:r>
        <w:rPr>
          <w:rFonts w:ascii="Arial" w:cs="Arial" w:eastAsia="Arial" w:hAnsi="Arial"/>
          <w:i w:val="false"/>
          <w:iCs w:val="false"/>
          <w:sz w:val="21"/>
          <w:szCs w:val="21"/>
        </w:rPr>
        <w:t xml:space="preserve">3.	</w:t>
      </w:r>
      <w:r>
        <w:rPr>
          <w:rFonts w:ascii="Arial" w:cs="Arial" w:eastAsia="Arial" w:hAnsi="Arial"/>
          <w:i w:val="false"/>
          <w:iCs w:val="false"/>
          <w:sz w:val="21"/>
          <w:szCs w:val="21"/>
        </w:rPr>
        <w:t xml:space="preserve">Adjustable feet for module leveling on the tank floor.</w:t>
      </w:r>
    </w:p>
    <w:p>
      <w:pPr>
        <w:tabs>
          <w:tab w:val="left" w:pos="1440"/>
        </w:tabs>
        <w:spacing w:after="90"/>
        <w:ind w:left="1440" w:hanging="360"/>
      </w:pPr>
      <w:r>
        <w:rPr>
          <w:rFonts w:ascii="Arial" w:cs="Arial" w:eastAsia="Arial" w:hAnsi="Arial"/>
          <w:i w:val="false"/>
          <w:iCs w:val="false"/>
          <w:sz w:val="21"/>
          <w:szCs w:val="21"/>
        </w:rPr>
        <w:t xml:space="preserve">4.	</w:t>
      </w:r>
      <w:r>
        <w:rPr>
          <w:rFonts w:ascii="Arial" w:cs="Arial" w:eastAsia="Arial" w:hAnsi="Arial"/>
          <w:i w:val="false"/>
          <w:iCs w:val="false"/>
          <w:sz w:val="21"/>
          <w:szCs w:val="21"/>
        </w:rPr>
        <w:t xml:space="preserve">Module restraint hardware to resist buoyancy and scour-induced movement.</w:t>
      </w:r>
    </w:p>
    <w:p>
      <w:pPr>
        <w:tabs>
          <w:tab w:val="left" w:pos="1440"/>
        </w:tabs>
        <w:spacing w:after="90"/>
        <w:ind w:left="1440" w:hanging="360"/>
      </w:pPr>
      <w:r>
        <w:rPr>
          <w:rFonts w:ascii="Arial" w:cs="Arial" w:eastAsia="Arial" w:hAnsi="Arial"/>
          <w:i w:val="false"/>
          <w:iCs w:val="false"/>
          <w:sz w:val="21"/>
          <w:szCs w:val="21"/>
        </w:rPr>
        <w:t xml:space="preserve">5.	</w:t>
      </w:r>
      <w:r>
        <w:rPr>
          <w:rFonts w:ascii="Arial" w:cs="Arial" w:eastAsia="Arial" w:hAnsi="Arial"/>
          <w:i w:val="false"/>
          <w:iCs w:val="false"/>
          <w:sz w:val="21"/>
          <w:szCs w:val="21"/>
        </w:rPr>
        <w:t xml:space="preserve">[Anchor bolts and templates.]</w:t>
      </w:r>
    </w:p>
    <w:p>
      <w:pPr>
        <w:pStyle w:val="Heading2"/>
        <w:spacing w:after="120" w:before="260"/>
      </w:pPr>
      <w:r>
        <w:rPr>
          <w:rFonts w:ascii="Arial" w:cs="Arial" w:eastAsia="Arial" w:hAnsi="Arial"/>
          <w:b/>
          <w:bCs/>
          <w:color w:val="000000"/>
          <w:sz w:val="22"/>
          <w:szCs w:val="22"/>
        </w:rPr>
        <w:t xml:space="preserve">2.08 PERFORMANCE AND DESIGN BASIS SCHEDULE</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Preliminary design basis for the Basis of Design module. The manufacturer shall confirm final values against the project design conditions of Article 1.05.</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960"/>
      </w:tblGrid>
      <w:tr>
        <w:trPr>
          <w:tblHeader/>
        </w:trPr>
        <w:tc>
          <w:tcPr>
            <w:tcW w:type="dxa" w:w="3200"/>
            <w:shd w:fill="E8EDF2" w:color="auto" w:val="clear"/>
            <w:tcMar>
              <w:top w:type="dxa" w:w="60"/>
              <w:left w:type="dxa" w:w="100"/>
              <w:bottom w:type="dxa" w:w="60"/>
              <w:right w:type="dxa" w:w="100"/>
            </w:tcMar>
          </w:tcPr>
          <w:p>
            <w:pPr>
              <w:spacing w:after="0"/>
            </w:pPr>
            <w:r>
              <w:rPr>
                <w:rFonts w:ascii="Arial" w:cs="Arial" w:eastAsia="Arial" w:hAnsi="Arial"/>
                <w:b/>
                <w:bCs/>
                <w:sz w:val="19"/>
                <w:szCs w:val="19"/>
              </w:rPr>
              <w:t xml:space="preserve">Parameter</w:t>
            </w:r>
          </w:p>
        </w:tc>
        <w:tc>
          <w:tcPr>
            <w:tcW w:type="dxa" w:w="3200"/>
            <w:shd w:fill="E8EDF2" w:color="auto" w:val="clear"/>
            <w:tcMar>
              <w:top w:type="dxa" w:w="60"/>
              <w:left w:type="dxa" w:w="100"/>
              <w:bottom w:type="dxa" w:w="60"/>
              <w:right w:type="dxa" w:w="100"/>
            </w:tcMar>
          </w:tcPr>
          <w:p>
            <w:pPr>
              <w:spacing w:after="0"/>
            </w:pPr>
            <w:r>
              <w:rPr>
                <w:rFonts w:ascii="Arial" w:cs="Arial" w:eastAsia="Arial" w:hAnsi="Arial"/>
                <w:b/>
                <w:bCs/>
                <w:sz w:val="19"/>
                <w:szCs w:val="19"/>
              </w:rPr>
              <w:t xml:space="preserve">130-plate (single deck)</w:t>
            </w:r>
          </w:p>
        </w:tc>
        <w:tc>
          <w:tcPr>
            <w:tcW w:type="dxa" w:w="2960"/>
            <w:shd w:fill="E8EDF2" w:color="auto" w:val="clear"/>
            <w:tcMar>
              <w:top w:type="dxa" w:w="60"/>
              <w:left w:type="dxa" w:w="100"/>
              <w:bottom w:type="dxa" w:w="60"/>
              <w:right w:type="dxa" w:w="100"/>
            </w:tcMar>
          </w:tcPr>
          <w:p>
            <w:pPr>
              <w:spacing w:after="0"/>
            </w:pPr>
            <w:r>
              <w:rPr>
                <w:rFonts w:ascii="Arial" w:cs="Arial" w:eastAsia="Arial" w:hAnsi="Arial"/>
                <w:b/>
                <w:bCs/>
                <w:sz w:val="19"/>
                <w:szCs w:val="19"/>
              </w:rPr>
              <w:t xml:space="preserve">260-plate (double deck)</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Membrane area</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≈136.5 m² (1,469 ft²)</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≈273 m² (2,938 ft²)</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Permeate flow, preliminary</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7.5 – 12.6 gpm</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15 – 25 gpm</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Flux, preliminary</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7.4 – 12.3 gfd</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7.4 – 12.3 gfd</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Scour air</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48 SCFM</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96 SCFM</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Scour intensity</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10 L/min per m² (0.35 SCFM/m²)</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Same</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Maximum TMP at design flux</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 2.2 psi</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 2.2 psi</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Connections</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2.5 in Sch 40</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2.5 in Sch 40</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Frame material</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304 SS (316 optional)</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304 SS (316 optional)</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Membrane</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PES, 0.04 µm nominal</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PES, 0.04 µm nominal</w:t>
            </w:r>
          </w:p>
        </w:tc>
      </w:tr>
      <w:tr>
        <w:trPr>
          <w:tblHeader w:val="false"/>
        </w:trPr>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Cleaning method</w:t>
            </w:r>
          </w:p>
        </w:tc>
        <w:tc>
          <w:tcPr>
            <w:tcW w:type="dxa" w:w="3200"/>
            <w:tcMar>
              <w:top w:type="dxa" w:w="60"/>
              <w:left w:type="dxa" w:w="100"/>
              <w:bottom w:type="dxa" w:w="60"/>
              <w:right w:type="dxa" w:w="100"/>
            </w:tcMar>
          </w:tcPr>
          <w:p>
            <w:pPr>
              <w:spacing w:after="0"/>
            </w:pPr>
            <w:r>
              <w:rPr>
                <w:rFonts w:ascii="Arial" w:cs="Arial" w:eastAsia="Arial" w:hAnsi="Arial"/>
                <w:b w:val="false"/>
                <w:bCs w:val="false"/>
                <w:sz w:val="19"/>
                <w:szCs w:val="19"/>
              </w:rPr>
              <w:t xml:space="preserve">CIP; not backwashed</w:t>
            </w:r>
          </w:p>
        </w:tc>
        <w:tc>
          <w:tcPr>
            <w:tcW w:type="dxa" w:w="2960"/>
            <w:tcMar>
              <w:top w:type="dxa" w:w="60"/>
              <w:left w:type="dxa" w:w="100"/>
              <w:bottom w:type="dxa" w:w="60"/>
              <w:right w:type="dxa" w:w="100"/>
            </w:tcMar>
          </w:tcPr>
          <w:p>
            <w:pPr>
              <w:spacing w:after="0"/>
            </w:pPr>
            <w:r>
              <w:rPr>
                <w:rFonts w:ascii="Arial" w:cs="Arial" w:eastAsia="Arial" w:hAnsi="Arial"/>
                <w:b w:val="false"/>
                <w:bCs w:val="false"/>
                <w:sz w:val="19"/>
                <w:szCs w:val="19"/>
              </w:rPr>
              <w:t xml:space="preserve">CIP; not backwashed</w:t>
            </w:r>
          </w:p>
        </w:tc>
      </w:tr>
    </w:tbl>
    <w:p>
      <w:pPr>
        <w:spacing w:after="140"/>
      </w:pP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At the flux range above, roughly 28 to 46 double-deck modules are required per MGD of sustained permeate production, before redundancy. Run that arithmetic against the tank geometry early — it drives the membrane tank layout more than any other number in this Section.</w:t>
      </w:r>
    </w:p>
    <w:p>
      <w:pPr>
        <w:pStyle w:val="Heading2"/>
        <w:spacing w:after="120" w:before="260"/>
      </w:pPr>
      <w:r>
        <w:rPr>
          <w:rFonts w:ascii="Arial" w:cs="Arial" w:eastAsia="Arial" w:hAnsi="Arial"/>
          <w:b/>
          <w:bCs/>
          <w:color w:val="000000"/>
          <w:sz w:val="22"/>
          <w:szCs w:val="22"/>
        </w:rPr>
        <w:t xml:space="preserve">2.09 SOURCE QUALITY CONTROL</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Each plate shall be integrity tested by the manufacturer prior to installation in a module. Test method and acceptance criteria shall be the manufacturer’s documented standard and shall be submitted.</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Maintain test records for each plate by serial number and furnish records with the shipment.</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Each assembled module shall be checked for air distribution to every plate prior to crating.</w:t>
      </w:r>
    </w:p>
    <w:p>
      <w:pPr>
        <w:pStyle w:val="Heading1"/>
        <w:spacing w:after="200" w:before="400"/>
      </w:pPr>
      <w:r>
        <w:rPr>
          <w:rFonts w:ascii="Arial" w:cs="Arial" w:eastAsia="Arial" w:hAnsi="Arial"/>
          <w:b/>
          <w:bCs/>
          <w:color w:val="000000"/>
          <w:sz w:val="24"/>
          <w:szCs w:val="24"/>
        </w:rPr>
        <w:t xml:space="preserve">PART 3 – EXECUTION</w:t>
      </w:r>
    </w:p>
    <w:p>
      <w:pPr>
        <w:pStyle w:val="Heading2"/>
        <w:spacing w:after="120" w:before="260"/>
      </w:pPr>
      <w:r>
        <w:rPr>
          <w:rFonts w:ascii="Arial" w:cs="Arial" w:eastAsia="Arial" w:hAnsi="Arial"/>
          <w:b/>
          <w:bCs/>
          <w:color w:val="000000"/>
          <w:sz w:val="22"/>
          <w:szCs w:val="22"/>
        </w:rPr>
        <w:t xml:space="preserve">3.01 EXAMINATION</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Verify membrane tank dimensions, floor flatness, and clear headroom for module installation and removal before delivery of modules.</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Verify that guide rails and anchorage are installed within the manufacturer’s stated tolerances.</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Verify that upstream screening is installed, operable, and of the aperture specified before mixed liquor is admitted to the membrane tank.</w:t>
      </w:r>
    </w:p>
    <w:p>
      <w:pPr>
        <w:pBdr>
          <w:left w:val="single" w:color="808080" w:sz="12" w:space="8"/>
        </w:pBdr>
        <w:spacing w:after="140" w:before="100"/>
        <w:ind w:left="720" w:right="360"/>
      </w:pPr>
      <w:r>
        <w:rPr>
          <w:rFonts w:ascii="Arial" w:cs="Arial" w:eastAsia="Arial" w:hAnsi="Arial"/>
          <w:i/>
          <w:iCs/>
          <w:color w:val="404040"/>
          <w:sz w:val="19"/>
          <w:szCs w:val="19"/>
        </w:rPr>
        <w:t xml:space="preserve">SPECIFIER NOTE: The screening verification in paragraph C is the cheapest protection in this Section. Most flat sheet channel packing traced to construction is traced to a screen that was bypassed, undersized, or commissioned late.</w:t>
      </w:r>
    </w:p>
    <w:p>
      <w:pPr>
        <w:pStyle w:val="Heading2"/>
        <w:spacing w:after="120" w:before="260"/>
      </w:pPr>
      <w:r>
        <w:rPr>
          <w:rFonts w:ascii="Arial" w:cs="Arial" w:eastAsia="Arial" w:hAnsi="Arial"/>
          <w:b/>
          <w:bCs/>
          <w:color w:val="000000"/>
          <w:sz w:val="22"/>
          <w:szCs w:val="22"/>
        </w:rPr>
        <w:t xml:space="preserve">3.02 INSTALLATION</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Install modules in accordance with the manufacturer’s written instructions and approved shop drawings.</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Handle and lift only at designated lifting attachments.</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Install module restraint hardware before filling the tank.</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Do not permit wetted membrane to dry out at any point after first wetting.</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Do not admit mixed liquor to the membrane tank until air scour is available and operable.</w:t>
      </w:r>
    </w:p>
    <w:p>
      <w:pPr>
        <w:pStyle w:val="Heading2"/>
        <w:spacing w:after="120" w:before="260"/>
      </w:pPr>
      <w:r>
        <w:rPr>
          <w:rFonts w:ascii="Arial" w:cs="Arial" w:eastAsia="Arial" w:hAnsi="Arial"/>
          <w:b/>
          <w:bCs/>
          <w:color w:val="000000"/>
          <w:sz w:val="22"/>
          <w:szCs w:val="22"/>
        </w:rPr>
        <w:t xml:space="preserve">3.03 CONNECTIONS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Connect permeate and air piping to module headers with connections permitting module removal without cutting piping.</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Support connecting piping independently. No piping load shall be transferred to the module frame.</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Provide isolation valving at each module or module group as indicated.</w:t>
      </w:r>
    </w:p>
    <w:p>
      <w:pPr>
        <w:pStyle w:val="Heading2"/>
        <w:spacing w:after="120" w:before="260"/>
      </w:pPr>
      <w:r>
        <w:rPr>
          <w:rFonts w:ascii="Arial" w:cs="Arial" w:eastAsia="Arial" w:hAnsi="Arial"/>
          <w:b/>
          <w:bCs/>
          <w:color w:val="000000"/>
          <w:sz w:val="22"/>
          <w:szCs w:val="22"/>
        </w:rPr>
        <w:t xml:space="preserve">3.04 START-UP AND FIELD QUALITY CONTROL</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Verify air scour flow at each module against the design rate of Article 2.05 before permeate production begins.</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Establish and record baseline clean-water permeability and TMP at a known temperature prior to introducing mixed liquor.</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Record TMP, permeate flow, liquid temperature, and MLSS daily through the commissioning period and furnish the record to the manufacturer.</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Operate within the design flux of Article 1.05 throughout commissioning. Do not exceed peak flux to accelerate a flow test.</w:t>
      </w:r>
    </w:p>
    <w:p>
      <w:pPr>
        <w:pStyle w:val="Heading2"/>
        <w:spacing w:after="120" w:before="260"/>
      </w:pPr>
      <w:r>
        <w:rPr>
          <w:rFonts w:ascii="Arial" w:cs="Arial" w:eastAsia="Arial" w:hAnsi="Arial"/>
          <w:b/>
          <w:bCs/>
          <w:color w:val="000000"/>
          <w:sz w:val="22"/>
          <w:szCs w:val="22"/>
        </w:rPr>
        <w:t xml:space="preserve">3.05 CLEANING</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The membrane shall be cleaned by clean-in-place (CIP) only. The membrane shall not be backwashed.</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Perform CIP in accordance with the manufacturer’s issued recipe for this project, specifying agent, concentration, contact time, temperature, and the air scour condition to be maintained during the soak.</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CIP shall be performed in the membrane tank with modules submerged and restraint hardware in place.</w:t>
      </w:r>
    </w:p>
    <w:p>
      <w:pPr>
        <w:tabs>
          <w:tab w:val="left" w:pos="720"/>
        </w:tabs>
        <w:spacing w:after="90"/>
        <w:ind w:left="720" w:hanging="360"/>
      </w:pPr>
      <w:r>
        <w:rPr>
          <w:rFonts w:ascii="Arial" w:cs="Arial" w:eastAsia="Arial" w:hAnsi="Arial"/>
          <w:i w:val="false"/>
          <w:iCs w:val="false"/>
          <w:sz w:val="21"/>
          <w:szCs w:val="21"/>
        </w:rPr>
        <w:t xml:space="preserve">D.	</w:t>
      </w:r>
      <w:r>
        <w:rPr>
          <w:rFonts w:ascii="Arial" w:cs="Arial" w:eastAsia="Arial" w:hAnsi="Arial"/>
          <w:i w:val="false"/>
          <w:iCs w:val="false"/>
          <w:sz w:val="21"/>
          <w:szCs w:val="21"/>
        </w:rPr>
        <w:t xml:space="preserve">Record for each cleaning: date, agent, concentration, temperature, duration, and TMP before and after.</w:t>
      </w:r>
    </w:p>
    <w:p>
      <w:pPr>
        <w:tabs>
          <w:tab w:val="left" w:pos="720"/>
        </w:tabs>
        <w:spacing w:after="90"/>
        <w:ind w:left="720" w:hanging="360"/>
      </w:pPr>
      <w:r>
        <w:rPr>
          <w:rFonts w:ascii="Arial" w:cs="Arial" w:eastAsia="Arial" w:hAnsi="Arial"/>
          <w:i w:val="false"/>
          <w:iCs w:val="false"/>
          <w:sz w:val="21"/>
          <w:szCs w:val="21"/>
        </w:rPr>
        <w:t xml:space="preserve">E.	</w:t>
      </w:r>
      <w:r>
        <w:rPr>
          <w:rFonts w:ascii="Arial" w:cs="Arial" w:eastAsia="Arial" w:hAnsi="Arial"/>
          <w:i w:val="false"/>
          <w:iCs w:val="false"/>
          <w:sz w:val="21"/>
          <w:szCs w:val="21"/>
        </w:rPr>
        <w:t xml:space="preserve">Physical measures — air scour at design rate, the relaxation cycle, operation at design flux, upstream screening, and MLSS control — shall be verified as correct before a chemical clean is performed.</w:t>
      </w:r>
    </w:p>
    <w:p>
      <w:pPr>
        <w:pStyle w:val="Heading2"/>
        <w:spacing w:after="120" w:before="260"/>
      </w:pPr>
      <w:r>
        <w:rPr>
          <w:rFonts w:ascii="Arial" w:cs="Arial" w:eastAsia="Arial" w:hAnsi="Arial"/>
          <w:b/>
          <w:bCs/>
          <w:color w:val="000000"/>
          <w:sz w:val="22"/>
          <w:szCs w:val="22"/>
        </w:rPr>
        <w:t xml:space="preserve">3.06 MANUFACTURER’S FIELD SERVICES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Furnish the services of a factory-trained representative for not less than [ ] days on site, in not less than [ ] trips, for installation observation, start-up, and Owner training.</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Furnish a written field report after each visit.</w:t>
      </w:r>
    </w:p>
    <w:p>
      <w:pPr>
        <w:tabs>
          <w:tab w:val="left" w:pos="720"/>
        </w:tabs>
        <w:spacing w:after="90"/>
        <w:ind w:left="720" w:hanging="360"/>
      </w:pPr>
      <w:r>
        <w:rPr>
          <w:rFonts w:ascii="Arial" w:cs="Arial" w:eastAsia="Arial" w:hAnsi="Arial"/>
          <w:i w:val="false"/>
          <w:iCs w:val="false"/>
          <w:sz w:val="21"/>
          <w:szCs w:val="21"/>
        </w:rPr>
        <w:t xml:space="preserve">C.	</w:t>
      </w:r>
      <w:r>
        <w:rPr>
          <w:rFonts w:ascii="Arial" w:cs="Arial" w:eastAsia="Arial" w:hAnsi="Arial"/>
          <w:i w:val="false"/>
          <w:iCs w:val="false"/>
          <w:sz w:val="21"/>
          <w:szCs w:val="21"/>
        </w:rPr>
        <w:t xml:space="preserve">Provide the manufacturer’s certificate of proper installation upon completion of start-up.</w:t>
      </w:r>
    </w:p>
    <w:p>
      <w:pPr>
        <w:pStyle w:val="Heading2"/>
        <w:spacing w:after="120" w:before="260"/>
      </w:pPr>
      <w:r>
        <w:rPr>
          <w:rFonts w:ascii="Arial" w:cs="Arial" w:eastAsia="Arial" w:hAnsi="Arial"/>
          <w:b/>
          <w:bCs/>
          <w:color w:val="000000"/>
          <w:sz w:val="22"/>
          <w:szCs w:val="22"/>
        </w:rPr>
        <w:t xml:space="preserve">3.07 TRAINING</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Provide not less than [ ] hours of Owner training covering normal operation, TMP interpretation, relaxation and flux discipline, CIP execution and recordkeeping, plate replacement, and air scour manifold service.</w:t>
      </w:r>
    </w:p>
    <w:p>
      <w:pPr>
        <w:tabs>
          <w:tab w:val="left" w:pos="720"/>
        </w:tabs>
        <w:spacing w:after="90"/>
        <w:ind w:left="720" w:hanging="360"/>
      </w:pPr>
      <w:r>
        <w:rPr>
          <w:rFonts w:ascii="Arial" w:cs="Arial" w:eastAsia="Arial" w:hAnsi="Arial"/>
          <w:i w:val="false"/>
          <w:iCs w:val="false"/>
          <w:sz w:val="21"/>
          <w:szCs w:val="21"/>
        </w:rPr>
        <w:t xml:space="preserve">B.	</w:t>
      </w:r>
      <w:r>
        <w:rPr>
          <w:rFonts w:ascii="Arial" w:cs="Arial" w:eastAsia="Arial" w:hAnsi="Arial"/>
          <w:i w:val="false"/>
          <w:iCs w:val="false"/>
          <w:sz w:val="21"/>
          <w:szCs w:val="21"/>
        </w:rPr>
        <w:t xml:space="preserve">Training shall be conducted after start-up and before Substantial Completion.</w:t>
      </w:r>
    </w:p>
    <w:p>
      <w:pPr>
        <w:pStyle w:val="Heading2"/>
        <w:spacing w:after="120" w:before="260"/>
      </w:pPr>
      <w:r>
        <w:rPr>
          <w:rFonts w:ascii="Arial" w:cs="Arial" w:eastAsia="Arial" w:hAnsi="Arial"/>
          <w:b/>
          <w:bCs/>
          <w:color w:val="000000"/>
          <w:sz w:val="22"/>
          <w:szCs w:val="22"/>
        </w:rPr>
        <w:t xml:space="preserve">3.08 SPARE PARTS</w:t>
      </w:r>
    </w:p>
    <w:p>
      <w:pPr>
        <w:tabs>
          <w:tab w:val="left" w:pos="720"/>
        </w:tabs>
        <w:spacing w:after="90"/>
        <w:ind w:left="720" w:hanging="360"/>
      </w:pPr>
      <w:r>
        <w:rPr>
          <w:rFonts w:ascii="Arial" w:cs="Arial" w:eastAsia="Arial" w:hAnsi="Arial"/>
          <w:i w:val="false"/>
          <w:iCs w:val="false"/>
          <w:sz w:val="21"/>
          <w:szCs w:val="21"/>
        </w:rPr>
        <w:t xml:space="preserve">A.	</w:t>
      </w:r>
      <w:r>
        <w:rPr>
          <w:rFonts w:ascii="Arial" w:cs="Arial" w:eastAsia="Arial" w:hAnsi="Arial"/>
          <w:i w:val="false"/>
          <w:iCs w:val="false"/>
          <w:sz w:val="21"/>
          <w:szCs w:val="21"/>
        </w:rPr>
        <w:t xml:space="preserve">Furnish the following spare parts, packaged and labeled for storage:</w:t>
      </w:r>
    </w:p>
    <w:p>
      <w:pPr>
        <w:tabs>
          <w:tab w:val="left" w:pos="1440"/>
        </w:tabs>
        <w:spacing w:after="90"/>
        <w:ind w:left="1440" w:hanging="360"/>
      </w:pPr>
      <w:r>
        <w:rPr>
          <w:rFonts w:ascii="Arial" w:cs="Arial" w:eastAsia="Arial" w:hAnsi="Arial"/>
          <w:i w:val="false"/>
          <w:iCs w:val="false"/>
          <w:sz w:val="21"/>
          <w:szCs w:val="21"/>
        </w:rPr>
        <w:t xml:space="preserve">1.	</w:t>
      </w:r>
      <w:r>
        <w:rPr>
          <w:rFonts w:ascii="Arial" w:cs="Arial" w:eastAsia="Arial" w:hAnsi="Arial"/>
          <w:i w:val="false"/>
          <w:iCs w:val="false"/>
          <w:sz w:val="21"/>
          <w:szCs w:val="21"/>
        </w:rPr>
        <w:t xml:space="preserve">[ ] complete membrane plates.</w:t>
      </w:r>
    </w:p>
    <w:p>
      <w:pPr>
        <w:tabs>
          <w:tab w:val="left" w:pos="1440"/>
        </w:tabs>
        <w:spacing w:after="90"/>
        <w:ind w:left="1440" w:hanging="360"/>
      </w:pPr>
      <w:r>
        <w:rPr>
          <w:rFonts w:ascii="Arial" w:cs="Arial" w:eastAsia="Arial" w:hAnsi="Arial"/>
          <w:i w:val="false"/>
          <w:iCs w:val="false"/>
          <w:sz w:val="21"/>
          <w:szCs w:val="21"/>
        </w:rPr>
        <w:t xml:space="preserve">2.	</w:t>
      </w:r>
      <w:r>
        <w:rPr>
          <w:rFonts w:ascii="Arial" w:cs="Arial" w:eastAsia="Arial" w:hAnsi="Arial"/>
          <w:i w:val="false"/>
          <w:iCs w:val="false"/>
          <w:sz w:val="21"/>
          <w:szCs w:val="21"/>
        </w:rPr>
        <w:t xml:space="preserve">[ ] air scour manifolds.</w:t>
      </w:r>
    </w:p>
    <w:p>
      <w:pPr>
        <w:tabs>
          <w:tab w:val="left" w:pos="1440"/>
        </w:tabs>
        <w:spacing w:after="90"/>
        <w:ind w:left="1440" w:hanging="360"/>
      </w:pPr>
      <w:r>
        <w:rPr>
          <w:rFonts w:ascii="Arial" w:cs="Arial" w:eastAsia="Arial" w:hAnsi="Arial"/>
          <w:i w:val="false"/>
          <w:iCs w:val="false"/>
          <w:sz w:val="21"/>
          <w:szCs w:val="21"/>
        </w:rPr>
        <w:t xml:space="preserve">3.	</w:t>
      </w:r>
      <w:r>
        <w:rPr>
          <w:rFonts w:ascii="Arial" w:cs="Arial" w:eastAsia="Arial" w:hAnsi="Arial"/>
          <w:i w:val="false"/>
          <w:iCs w:val="false"/>
          <w:sz w:val="21"/>
          <w:szCs w:val="21"/>
        </w:rPr>
        <w:t xml:space="preserve">[ ] air scour valves.</w:t>
      </w:r>
    </w:p>
    <w:p>
      <w:pPr>
        <w:tabs>
          <w:tab w:val="left" w:pos="1440"/>
        </w:tabs>
        <w:spacing w:after="90"/>
        <w:ind w:left="1440" w:hanging="360"/>
      </w:pPr>
      <w:r>
        <w:rPr>
          <w:rFonts w:ascii="Arial" w:cs="Arial" w:eastAsia="Arial" w:hAnsi="Arial"/>
          <w:i w:val="false"/>
          <w:iCs w:val="false"/>
          <w:sz w:val="21"/>
          <w:szCs w:val="21"/>
        </w:rPr>
        <w:t xml:space="preserve">4.	</w:t>
      </w:r>
      <w:r>
        <w:rPr>
          <w:rFonts w:ascii="Arial" w:cs="Arial" w:eastAsia="Arial" w:hAnsi="Arial"/>
          <w:i w:val="false"/>
          <w:iCs w:val="false"/>
          <w:sz w:val="21"/>
          <w:szCs w:val="21"/>
        </w:rPr>
        <w:t xml:space="preserve">[One (1)] complete set of gaskets and flexible permeate connections per module.</w:t>
      </w:r>
    </w:p>
    <w:p>
      <w:pPr>
        <w:spacing w:before="400"/>
        <w:jc w:val="center"/>
      </w:pPr>
      <w:r>
        <w:rPr>
          <w:rFonts w:ascii="Arial" w:cs="Arial" w:eastAsia="Arial" w:hAnsi="Arial"/>
          <w:b/>
          <w:bCs/>
          <w:sz w:val="21"/>
          <w:szCs w:val="21"/>
        </w:rPr>
        <w:t xml:space="preserve">END OF SECTION 46 61 00</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606060"/>
        <w:sz w:val="17"/>
        <w:szCs w:val="17"/>
      </w:rPr>
      <w:t xml:space="preserve">Zyramic, Inc. · Poughkeepsie, NY · zyramic.com</w:t>
    </w:r>
    <w:r>
      <w:rPr>
        <w:rFonts w:ascii="Arial" w:cs="Arial" w:eastAsia="Arial" w:hAnsi="Arial"/>
        <w:sz w:val="17"/>
        <w:szCs w:val="17"/>
      </w:rPr>
      <w:t xml:space="preserve">	</w:t>
    </w:r>
    <w:r>
      <w:rPr>
        <w:rFonts w:ascii="Arial" w:cs="Arial" w:eastAsia="Arial" w:hAnsi="Arial"/>
        <w:color w:val="606060"/>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AAAAA" w:sz="4" w:space="4"/>
      </w:pBdr>
      <w:tabs>
        <w:tab w:val="right" w:pos="9360"/>
      </w:tabs>
    </w:pPr>
    <w:r>
      <w:rPr>
        <w:rFonts w:ascii="Arial" w:cs="Arial" w:eastAsia="Arial" w:hAnsi="Arial"/>
        <w:color w:val="606060"/>
        <w:sz w:val="17"/>
        <w:szCs w:val="17"/>
      </w:rPr>
      <w:t xml:space="preserve">GUIDE SPECIFICATION — EDIT TO PROJECT</w:t>
    </w:r>
    <w:r>
      <w:rPr>
        <w:rFonts w:ascii="Arial" w:cs="Arial" w:eastAsia="Arial" w:hAnsi="Arial"/>
        <w:color w:val="606060"/>
        <w:sz w:val="17"/>
        <w:szCs w:val="17"/>
      </w:rPr>
      <w:t xml:space="preserve">	SECTION 46 61 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2026-08-23T00:52:07.525Z</dcterms:created>
  <dcterms:modified xsi:type="dcterms:W3CDTF">2026-08-23T00:52:07.539Z</dcterms:modified>
</cp:coreProperties>
</file>

<file path=docProps/custom.xml><?xml version="1.0" encoding="utf-8"?>
<Properties xmlns="http://schemas.openxmlformats.org/officeDocument/2006/custom-properties" xmlns:vt="http://schemas.openxmlformats.org/officeDocument/2006/docPropsVTypes"/>
</file>